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3A72" w14:textId="77777777" w:rsidR="000F791B" w:rsidRDefault="000F791B" w:rsidP="008760B4">
      <w:pPr>
        <w:pStyle w:val="Heading2"/>
      </w:pPr>
      <w:r>
        <w:t>System Contexts &amp; ICTP Implementation Support Practice</w:t>
      </w:r>
    </w:p>
    <w:p w14:paraId="72FF090B" w14:textId="77777777" w:rsidR="000F791B" w:rsidRDefault="000F791B" w:rsidP="000F791B">
      <w:pPr>
        <w:rPr>
          <w:rFonts w:eastAsia="Libre Baskerville"/>
        </w:rPr>
      </w:pPr>
      <w:r>
        <w:rPr>
          <w:rFonts w:eastAsia="Libre Baskerville"/>
        </w:rPr>
        <w:t xml:space="preserve">ICTP implementation support practitioners (ISPs) provide a range of direct implementation support activities to </w:t>
      </w:r>
      <w:r w:rsidRPr="008A4332">
        <w:rPr>
          <w:rFonts w:eastAsia="Libre Baskerville"/>
        </w:rPr>
        <w:t xml:space="preserve">ensure the success and sustainability of </w:t>
      </w:r>
      <w:r>
        <w:rPr>
          <w:rFonts w:eastAsia="Libre Baskerville"/>
        </w:rPr>
        <w:t>Triple P</w:t>
      </w:r>
      <w:r w:rsidRPr="008A4332">
        <w:rPr>
          <w:rFonts w:eastAsia="Libre Baskerville"/>
        </w:rPr>
        <w:t xml:space="preserve"> implementation and scale-up.</w:t>
      </w:r>
      <w:r>
        <w:rPr>
          <w:rFonts w:eastAsia="Libre Baskerville"/>
        </w:rPr>
        <w:t xml:space="preserve"> Engagement in implementation support was consistently high across both state and regional Triple P partners through mid-2022. In the latter half of 2022 and 2023, engagement was more variable across regional Triple P partners. In any situation, it is important to remember that ICTP supports are influenced by system, community, and organizational contexts [6]. </w:t>
      </w:r>
      <w:sdt>
        <w:sdtPr>
          <w:rPr>
            <w:i/>
            <w:iCs/>
          </w:rPr>
          <w:tag w:val="goog_rdk_8"/>
          <w:id w:val="-2052681000"/>
        </w:sdtPr>
        <w:sdtContent>
          <w:r w:rsidRPr="00635F02">
            <w:t>The</w:t>
          </w:r>
          <w:r>
            <w:rPr>
              <w:i/>
              <w:iCs/>
            </w:rPr>
            <w:t xml:space="preserve"> </w:t>
          </w:r>
        </w:sdtContent>
      </w:sdt>
      <w:r w:rsidRPr="00A8304A">
        <w:rPr>
          <w:rFonts w:eastAsia="Libre Baskerville"/>
          <w:i/>
          <w:iCs/>
        </w:rPr>
        <w:t>system context</w:t>
      </w:r>
      <w:r>
        <w:rPr>
          <w:rFonts w:eastAsia="Libre Baskerville"/>
        </w:rPr>
        <w:t xml:space="preserve"> refers to sociopolitical and economic forces that either facilitate or hinder community Triple P scaling efforts. The </w:t>
      </w:r>
      <w:r w:rsidRPr="00A8304A">
        <w:rPr>
          <w:rFonts w:eastAsia="Libre Baskerville"/>
          <w:i/>
          <w:iCs/>
        </w:rPr>
        <w:t>community context</w:t>
      </w:r>
      <w:r>
        <w:rPr>
          <w:rFonts w:eastAsia="Libre Baskerville"/>
        </w:rPr>
        <w:t xml:space="preserve"> refers to activities and relationships within the regional setting that can influence community-based Triple P scale-up and implementation activities. Finally, the </w:t>
      </w:r>
      <w:r w:rsidRPr="00A8304A">
        <w:rPr>
          <w:rFonts w:eastAsia="Libre Baskerville"/>
          <w:i/>
          <w:iCs/>
        </w:rPr>
        <w:t>organizational context</w:t>
      </w:r>
      <w:r>
        <w:rPr>
          <w:rFonts w:eastAsia="Libre Baskerville"/>
        </w:rPr>
        <w:t xml:space="preserve"> refers to culture and climate factors within an LIA or a Triple P provider organization that influence the scaling or implementation behaviors of leaders and staff. </w:t>
      </w:r>
    </w:p>
    <w:p w14:paraId="3D0ADED6" w14:textId="77777777" w:rsidR="000F791B" w:rsidRDefault="000F791B" w:rsidP="000F791B">
      <w:pPr>
        <w:rPr>
          <w:rFonts w:eastAsia="Libre Baskerville"/>
        </w:rPr>
      </w:pPr>
    </w:p>
    <w:p w14:paraId="65138A89" w14:textId="77777777" w:rsidR="000F791B" w:rsidRDefault="000F791B" w:rsidP="000F791B">
      <w:pPr>
        <w:rPr>
          <w:rFonts w:eastAsia="Libre Baskerville"/>
        </w:rPr>
      </w:pPr>
      <w:r>
        <w:rPr>
          <w:rFonts w:eastAsia="Libre Baskerville"/>
        </w:rPr>
        <w:t xml:space="preserve">These three interrelated contexts must inform the approach any ICTP ISP takes in tailoring their implementation support activities. Contextual factors may limit as well as strengthen the ability to provide ICTP implementation supports effectively. ICTP </w:t>
      </w:r>
      <w:r w:rsidRPr="00A8304A">
        <w:rPr>
          <w:rFonts w:eastAsia="Libre Baskerville"/>
          <w:iCs/>
        </w:rPr>
        <w:t>regional support specialists</w:t>
      </w:r>
      <w:proofErr w:type="gramStart"/>
      <w:r>
        <w:rPr>
          <w:rFonts w:eastAsia="Libre Baskerville"/>
        </w:rPr>
        <w:t>, in particular, require</w:t>
      </w:r>
      <w:proofErr w:type="gramEnd"/>
      <w:r>
        <w:rPr>
          <w:rFonts w:eastAsia="Libre Baskerville"/>
        </w:rPr>
        <w:t xml:space="preserve"> a deep understanding of </w:t>
      </w:r>
      <w:r w:rsidRPr="00A8304A">
        <w:rPr>
          <w:rFonts w:eastAsia="Libre Baskerville"/>
          <w:iCs/>
        </w:rPr>
        <w:t>community</w:t>
      </w:r>
      <w:r>
        <w:rPr>
          <w:rFonts w:eastAsia="Libre Baskerville"/>
        </w:rPr>
        <w:t xml:space="preserve"> context to make decisions about which implementation strategies to select, combine, and/or integrate when supporting regional Triple P partners to address their specific implementation challenges [6, p. 5]. However, all ICTP ISPs—including ICTP design and consultation specialists, media and networking specialists, and regional support teams—need working knowledge of context at all three levels. This allows them to remain aligned and operating as an efficient and effective broader implementation support team within the NC Triple P System. When ICTP ISPs are less familiar with these contextual factors, they risk tailoring support in a way that may fragment ICTP support activities, at least, and NC Triple P System activities, at worst.</w:t>
      </w:r>
    </w:p>
    <w:p w14:paraId="39B69EF5" w14:textId="77777777" w:rsidR="000F791B" w:rsidRDefault="000F791B" w:rsidP="000F791B">
      <w:pPr>
        <w:rPr>
          <w:rFonts w:ascii="Libre Baskerville" w:eastAsia="Libre Baskerville" w:hAnsi="Libre Baskerville" w:cs="Libre Baskerville"/>
        </w:rPr>
      </w:pPr>
    </w:p>
    <w:p w14:paraId="2DFCFA24" w14:textId="77777777" w:rsidR="000F791B" w:rsidRDefault="000F791B" w:rsidP="000F791B">
      <w:pPr>
        <w:rPr>
          <w:rFonts w:eastAsia="Libre Baskerville"/>
        </w:rPr>
      </w:pPr>
      <w:r>
        <w:rPr>
          <w:rFonts w:eastAsia="Libre Baskerville"/>
        </w:rPr>
        <w:t xml:space="preserve">In short, ICTP ISPs must </w:t>
      </w:r>
    </w:p>
    <w:p w14:paraId="5D150873" w14:textId="77777777" w:rsidR="000F791B" w:rsidRPr="00A8304A" w:rsidRDefault="000F791B" w:rsidP="000F791B">
      <w:pPr>
        <w:pStyle w:val="ListBullet"/>
        <w:rPr>
          <w:rFonts w:eastAsia="Libre Baskerville"/>
        </w:rPr>
      </w:pPr>
      <w:r w:rsidRPr="00A8304A">
        <w:rPr>
          <w:rFonts w:eastAsia="Libre Baskerville"/>
        </w:rPr>
        <w:t xml:space="preserve">deliver support in flexible, dynamic ways to account for contextual factors and meet the needs of support participants (i.e., </w:t>
      </w:r>
      <w:r>
        <w:rPr>
          <w:rFonts w:eastAsia="Libre Baskerville"/>
        </w:rPr>
        <w:t xml:space="preserve">leaders and teams, </w:t>
      </w:r>
      <w:r>
        <w:rPr>
          <w:rFonts w:eastAsia="Libre Baskerville"/>
        </w:rPr>
        <w:lastRenderedPageBreak/>
        <w:t xml:space="preserve">organizations, </w:t>
      </w:r>
      <w:r w:rsidRPr="00A8304A">
        <w:rPr>
          <w:rFonts w:eastAsia="Libre Baskerville"/>
        </w:rPr>
        <w:t xml:space="preserve">and </w:t>
      </w:r>
      <w:r>
        <w:rPr>
          <w:rFonts w:eastAsia="Libre Baskerville"/>
        </w:rPr>
        <w:t xml:space="preserve">state-level and community partners </w:t>
      </w:r>
      <w:r w:rsidRPr="00A8304A">
        <w:rPr>
          <w:rFonts w:eastAsia="Libre Baskerville"/>
        </w:rPr>
        <w:t>receiving implementation support) at any level of the NC Triple P System</w:t>
      </w:r>
      <w:r>
        <w:rPr>
          <w:rFonts w:eastAsia="Libre Baskerville"/>
        </w:rPr>
        <w:t>; and</w:t>
      </w:r>
    </w:p>
    <w:p w14:paraId="0AF207A9" w14:textId="77777777" w:rsidR="000F791B" w:rsidRDefault="000F791B" w:rsidP="000F791B">
      <w:pPr>
        <w:pStyle w:val="ListBullet"/>
        <w:rPr>
          <w:rFonts w:eastAsia="Libre Baskerville"/>
        </w:rPr>
      </w:pPr>
      <w:r w:rsidRPr="00A8304A">
        <w:rPr>
          <w:rFonts w:eastAsia="Libre Baskerville"/>
        </w:rPr>
        <w:t xml:space="preserve">remain in overall alignment with other ICTP </w:t>
      </w:r>
      <w:r>
        <w:rPr>
          <w:rFonts w:eastAsia="Libre Baskerville"/>
        </w:rPr>
        <w:t>ISP</w:t>
      </w:r>
      <w:r w:rsidRPr="00A8304A">
        <w:rPr>
          <w:rFonts w:eastAsia="Libre Baskerville"/>
        </w:rPr>
        <w:t>s working at different system levels</w:t>
      </w:r>
      <w:r>
        <w:rPr>
          <w:rFonts w:eastAsia="Libre Baskerville"/>
        </w:rPr>
        <w:t>.</w:t>
      </w:r>
      <w:r w:rsidRPr="00A8304A">
        <w:rPr>
          <w:rFonts w:eastAsia="Libre Baskerville"/>
        </w:rPr>
        <w:t xml:space="preserve"> </w:t>
      </w:r>
    </w:p>
    <w:p w14:paraId="4A50FE7F" w14:textId="77777777" w:rsidR="000F791B" w:rsidRDefault="000F791B" w:rsidP="000F791B">
      <w:pPr>
        <w:rPr>
          <w:rFonts w:eastAsia="Libre Baskerville"/>
        </w:rPr>
      </w:pPr>
    </w:p>
    <w:p w14:paraId="056EB5F5" w14:textId="01523893" w:rsidR="00065645" w:rsidRDefault="000F791B" w:rsidP="000F791B">
      <w:pPr>
        <w:rPr>
          <w:rFonts w:eastAsia="Libre Baskerville"/>
        </w:rPr>
      </w:pPr>
      <w:r>
        <w:rPr>
          <w:rFonts w:eastAsia="Libre Baskerville"/>
        </w:rPr>
        <w:t xml:space="preserve">When these aims are accomplished, </w:t>
      </w:r>
      <w:r w:rsidRPr="00A8304A">
        <w:rPr>
          <w:rFonts w:eastAsia="Libre Baskerville"/>
        </w:rPr>
        <w:t>the influence of the ICTP project team is maximized.</w:t>
      </w:r>
    </w:p>
    <w:p w14:paraId="06CED697" w14:textId="77777777" w:rsidR="0001385C" w:rsidRDefault="0001385C" w:rsidP="000F791B">
      <w:pPr>
        <w:rPr>
          <w:rFonts w:eastAsia="Libre Baskerville"/>
        </w:rPr>
      </w:pPr>
    </w:p>
    <w:p w14:paraId="6F731D4D" w14:textId="4FF32A47" w:rsidR="00C90063" w:rsidRPr="00C90063" w:rsidRDefault="00C90063" w:rsidP="00275DA7">
      <w:pPr>
        <w:pStyle w:val="Footer"/>
        <w:numPr>
          <w:ilvl w:val="0"/>
          <w:numId w:val="0"/>
        </w:numPr>
        <w:ind w:left="450"/>
      </w:pPr>
    </w:p>
    <w:sectPr w:rsidR="00C90063" w:rsidRPr="00C90063" w:rsidSect="00333FE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829" w:left="1080" w:header="720" w:footer="792" w:gutter="0"/>
      <w:pgNumType w:start="2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6F82" w14:textId="77777777" w:rsidR="00DC118D" w:rsidRDefault="00DC118D" w:rsidP="005F3829">
      <w:r>
        <w:separator/>
      </w:r>
    </w:p>
  </w:endnote>
  <w:endnote w:type="continuationSeparator" w:id="0">
    <w:p w14:paraId="661162CC" w14:textId="77777777" w:rsidR="00DC118D" w:rsidRDefault="00DC118D"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1320" w14:textId="77777777" w:rsidR="00333FE3" w:rsidRDefault="00333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7657C1E6" w14:textId="28A51298"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CC4915" w:rsidRPr="00CC4915">
          <w:rPr>
            <w:rFonts w:eastAsia="Lato" w:cs="Open Sans"/>
            <w:color w:val="002060"/>
            <w:sz w:val="20"/>
            <w:szCs w:val="20"/>
          </w:rPr>
          <w:t>NC TRIPLE P SYSTEM OVERVIEW</w:t>
        </w:r>
      </w:p>
      <w:p w14:paraId="3603AF19" w14:textId="789F1C1A" w:rsidR="00B661F5" w:rsidRDefault="00000000" w:rsidP="005F3829">
        <w:pPr>
          <w:pStyle w:val="TableBody"/>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0332" w14:textId="77777777" w:rsidR="00333FE3" w:rsidRDefault="00333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BAEF" w14:textId="77777777" w:rsidR="00DC118D" w:rsidRDefault="00DC118D" w:rsidP="005F3829">
      <w:r>
        <w:separator/>
      </w:r>
    </w:p>
  </w:footnote>
  <w:footnote w:type="continuationSeparator" w:id="0">
    <w:p w14:paraId="3818DD53" w14:textId="77777777" w:rsidR="00DC118D" w:rsidRDefault="00DC118D"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AB71" w14:textId="77777777" w:rsidR="00333FE3" w:rsidRDefault="00333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D5B1" w14:textId="0B0618FF" w:rsidR="0061580A" w:rsidRDefault="0068068D">
    <w:pPr>
      <w:pStyle w:val="Header"/>
    </w:pPr>
    <w:r>
      <w:rPr>
        <w:noProof/>
      </w:rPr>
      <mc:AlternateContent>
        <mc:Choice Requires="wps">
          <w:drawing>
            <wp:anchor distT="0" distB="0" distL="114300" distR="114300" simplePos="0" relativeHeight="251659264" behindDoc="0" locked="0" layoutInCell="1" allowOverlap="1" wp14:anchorId="7D9997F1" wp14:editId="38268DBA">
              <wp:simplePos x="0" y="0"/>
              <wp:positionH relativeFrom="column">
                <wp:posOffset>105576</wp:posOffset>
              </wp:positionH>
              <wp:positionV relativeFrom="paragraph">
                <wp:posOffset>-417195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67FA508" w14:textId="77777777" w:rsidR="0061580A" w:rsidRDefault="0061580A" w:rsidP="0061580A">
                          <w:pPr>
                            <w:ind w:left="0"/>
                            <w:jc w:val="center"/>
                            <w:rPr>
                              <w:sz w:val="13"/>
                              <w:szCs w:val="13"/>
                            </w:rPr>
                          </w:pPr>
                          <w:r w:rsidRPr="0061580A">
                            <w:rPr>
                              <w:sz w:val="13"/>
                              <w:szCs w:val="13"/>
                            </w:rPr>
                            <w:t>BRIEF</w:t>
                          </w:r>
                        </w:p>
                        <w:p w14:paraId="16ED8130" w14:textId="5D941F3F" w:rsidR="0061580A" w:rsidRDefault="0061580A" w:rsidP="0061580A">
                          <w:pPr>
                            <w:ind w:left="0"/>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D9997F1" id="Rectangle 1" o:spid="_x0000_s1026" style="position:absolute;left:0;text-align:left;margin-left:8.3pt;margin-top:-32.8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JN3AHXcAAAABwEAAA8AAABkcnMvZG93bnJldi54bWxMjsFOwzAQRO9I/IO1SNxah0Ld&#10;EuJUgIqEeqOgRtzceIkj4nUUu2369ywnOK1G+zTzitXoO3HEIbaBNNxMMxBIdbAtNRo+3l8mSxAx&#10;GbKmC4QazhhhVV5eFCa34URveNymRnAJxdxocCn1uZSxduhNnIYeiX9fYfAmcRwaaQdz4nLfyVmW&#10;KelNS7zgTI/PDuvv7cFr8PP6NZ2r9adV60UVnly12dlbra+vxscHEAnH9AfDrz6rQ8lO+3AgG0XH&#10;WSkmNUzUfAGCgXvFd69hdgeyLOR///IHAAD//wMAUEsBAi0AFAAGAAgAAAAhALaDOJL+AAAA4QEA&#10;ABMAAAAAAAAAAAAAAAAAAAAAAFtDb250ZW50X1R5cGVzXS54bWxQSwECLQAUAAYACAAAACEAOP0h&#10;/9YAAACUAQAACwAAAAAAAAAAAAAAAAAvAQAAX3JlbHMvLnJlbHNQSwECLQAUAAYACAAAACEAx+oJ&#10;24UCAABpBQAADgAAAAAAAAAAAAAAAAAuAgAAZHJzL2Uyb0RvYy54bWxQSwECLQAUAAYACAAAACEA&#10;k3cAddwAAAAHAQAADwAAAAAAAAAAAAAAAADfBAAAZHJzL2Rvd25yZXYueG1sUEsFBgAAAAAEAAQA&#10;8wAAAOgFAAAAAA==&#10;" fillcolor="#384975" stroked="f" strokeweight="1pt">
              <v:textbox>
                <w:txbxContent>
                  <w:p w14:paraId="167FA508" w14:textId="77777777" w:rsidR="0061580A" w:rsidRDefault="0061580A" w:rsidP="0061580A">
                    <w:pPr>
                      <w:ind w:left="0"/>
                      <w:jc w:val="center"/>
                      <w:rPr>
                        <w:sz w:val="13"/>
                        <w:szCs w:val="13"/>
                      </w:rPr>
                    </w:pPr>
                    <w:r w:rsidRPr="0061580A">
                      <w:rPr>
                        <w:sz w:val="13"/>
                        <w:szCs w:val="13"/>
                      </w:rPr>
                      <w:t>BRIEF</w:t>
                    </w:r>
                  </w:p>
                  <w:p w14:paraId="16ED8130" w14:textId="5D941F3F" w:rsidR="0061580A" w:rsidRDefault="0061580A" w:rsidP="0061580A">
                    <w:pPr>
                      <w:ind w:left="0"/>
                      <w:jc w:val="center"/>
                    </w:pPr>
                    <w:r>
                      <w:t>1</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C52C" w14:textId="77777777" w:rsidR="00333FE3" w:rsidRDefault="00333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F433B"/>
    <w:multiLevelType w:val="hybridMultilevel"/>
    <w:tmpl w:val="7158CCA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06D6F"/>
    <w:multiLevelType w:val="hybridMultilevel"/>
    <w:tmpl w:val="3D321BAE"/>
    <w:lvl w:ilvl="0" w:tplc="6D0CE080">
      <w:start w:val="1"/>
      <w:numFmt w:val="bullet"/>
      <w:pStyle w:val="txtEnding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BB6A18"/>
    <w:multiLevelType w:val="hybridMultilevel"/>
    <w:tmpl w:val="B26A293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37"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21C6CF2"/>
    <w:multiLevelType w:val="hybridMultilevel"/>
    <w:tmpl w:val="4C7EF00E"/>
    <w:lvl w:ilvl="0" w:tplc="FF96E400">
      <w:start w:val="1"/>
      <w:numFmt w:val="bullet"/>
      <w:pStyle w:val="txtEnd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007BAB"/>
    <w:multiLevelType w:val="hybridMultilevel"/>
    <w:tmpl w:val="471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61384B"/>
    <w:multiLevelType w:val="hybridMultilevel"/>
    <w:tmpl w:val="01324F8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6F83118"/>
    <w:multiLevelType w:val="hybridMultilevel"/>
    <w:tmpl w:val="5D0C102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62"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486754"/>
    <w:multiLevelType w:val="hybridMultilevel"/>
    <w:tmpl w:val="7E1ED3C6"/>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3"/>
  </w:num>
  <w:num w:numId="4" w16cid:durableId="1643997132">
    <w:abstractNumId w:val="0"/>
  </w:num>
  <w:num w:numId="5" w16cid:durableId="1427731844">
    <w:abstractNumId w:val="66"/>
  </w:num>
  <w:num w:numId="6" w16cid:durableId="746877472">
    <w:abstractNumId w:val="65"/>
  </w:num>
  <w:num w:numId="7" w16cid:durableId="1786773656">
    <w:abstractNumId w:val="9"/>
  </w:num>
  <w:num w:numId="8" w16cid:durableId="1897007784">
    <w:abstractNumId w:val="34"/>
  </w:num>
  <w:num w:numId="9" w16cid:durableId="225532596">
    <w:abstractNumId w:val="7"/>
  </w:num>
  <w:num w:numId="10" w16cid:durableId="1015109364">
    <w:abstractNumId w:val="31"/>
  </w:num>
  <w:num w:numId="11" w16cid:durableId="455635238">
    <w:abstractNumId w:val="41"/>
  </w:num>
  <w:num w:numId="12" w16cid:durableId="1306620319">
    <w:abstractNumId w:val="57"/>
  </w:num>
  <w:num w:numId="13" w16cid:durableId="869532227">
    <w:abstractNumId w:val="63"/>
  </w:num>
  <w:num w:numId="14" w16cid:durableId="92555518">
    <w:abstractNumId w:val="58"/>
  </w:num>
  <w:num w:numId="15" w16cid:durableId="367069993">
    <w:abstractNumId w:val="29"/>
  </w:num>
  <w:num w:numId="16" w16cid:durableId="723454207">
    <w:abstractNumId w:val="12"/>
  </w:num>
  <w:num w:numId="17" w16cid:durableId="753743320">
    <w:abstractNumId w:val="56"/>
  </w:num>
  <w:num w:numId="18" w16cid:durableId="654845919">
    <w:abstractNumId w:val="54"/>
  </w:num>
  <w:num w:numId="19" w16cid:durableId="637421270">
    <w:abstractNumId w:val="50"/>
  </w:num>
  <w:num w:numId="20" w16cid:durableId="1093360072">
    <w:abstractNumId w:val="55"/>
  </w:num>
  <w:num w:numId="21" w16cid:durableId="105000690">
    <w:abstractNumId w:val="16"/>
  </w:num>
  <w:num w:numId="22" w16cid:durableId="751973327">
    <w:abstractNumId w:val="8"/>
  </w:num>
  <w:num w:numId="23" w16cid:durableId="1507089947">
    <w:abstractNumId w:val="21"/>
  </w:num>
  <w:num w:numId="24" w16cid:durableId="2144732420">
    <w:abstractNumId w:val="17"/>
  </w:num>
  <w:num w:numId="25" w16cid:durableId="400904157">
    <w:abstractNumId w:val="6"/>
  </w:num>
  <w:num w:numId="26" w16cid:durableId="467403196">
    <w:abstractNumId w:val="37"/>
  </w:num>
  <w:num w:numId="27" w16cid:durableId="915362102">
    <w:abstractNumId w:val="10"/>
  </w:num>
  <w:num w:numId="28" w16cid:durableId="1576084713">
    <w:abstractNumId w:val="49"/>
  </w:num>
  <w:num w:numId="29" w16cid:durableId="1127285350">
    <w:abstractNumId w:val="64"/>
  </w:num>
  <w:num w:numId="30" w16cid:durableId="791752577">
    <w:abstractNumId w:val="32"/>
  </w:num>
  <w:num w:numId="31" w16cid:durableId="1121532902">
    <w:abstractNumId w:val="70"/>
  </w:num>
  <w:num w:numId="32" w16cid:durableId="585773582">
    <w:abstractNumId w:val="42"/>
  </w:num>
  <w:num w:numId="33" w16cid:durableId="526529685">
    <w:abstractNumId w:val="18"/>
  </w:num>
  <w:num w:numId="34" w16cid:durableId="1573924017">
    <w:abstractNumId w:val="28"/>
  </w:num>
  <w:num w:numId="35" w16cid:durableId="1061559268">
    <w:abstractNumId w:val="5"/>
  </w:num>
  <w:num w:numId="36" w16cid:durableId="722220672">
    <w:abstractNumId w:val="25"/>
  </w:num>
  <w:num w:numId="37" w16cid:durableId="2015648837">
    <w:abstractNumId w:val="28"/>
    <w:lvlOverride w:ilvl="0">
      <w:startOverride w:val="1"/>
    </w:lvlOverride>
  </w:num>
  <w:num w:numId="38" w16cid:durableId="189992886">
    <w:abstractNumId w:val="51"/>
  </w:num>
  <w:num w:numId="39" w16cid:durableId="798257106">
    <w:abstractNumId w:val="24"/>
  </w:num>
  <w:num w:numId="40" w16cid:durableId="1458796170">
    <w:abstractNumId w:val="60"/>
  </w:num>
  <w:num w:numId="41" w16cid:durableId="985429762">
    <w:abstractNumId w:val="59"/>
  </w:num>
  <w:num w:numId="42" w16cid:durableId="592477942">
    <w:abstractNumId w:val="2"/>
  </w:num>
  <w:num w:numId="43" w16cid:durableId="664670678">
    <w:abstractNumId w:val="68"/>
  </w:num>
  <w:num w:numId="44" w16cid:durableId="442841348">
    <w:abstractNumId w:val="62"/>
  </w:num>
  <w:num w:numId="45" w16cid:durableId="1821575096">
    <w:abstractNumId w:val="3"/>
  </w:num>
  <w:num w:numId="46" w16cid:durableId="1795828116">
    <w:abstractNumId w:val="69"/>
  </w:num>
  <w:num w:numId="47" w16cid:durableId="900210034">
    <w:abstractNumId w:val="45"/>
  </w:num>
  <w:num w:numId="48" w16cid:durableId="635456117">
    <w:abstractNumId w:val="22"/>
  </w:num>
  <w:num w:numId="49" w16cid:durableId="1204827950">
    <w:abstractNumId w:val="19"/>
  </w:num>
  <w:num w:numId="50" w16cid:durableId="1469664098">
    <w:abstractNumId w:val="11"/>
  </w:num>
  <w:num w:numId="51" w16cid:durableId="1111512196">
    <w:abstractNumId w:val="35"/>
  </w:num>
  <w:num w:numId="52" w16cid:durableId="1970235500">
    <w:abstractNumId w:val="53"/>
  </w:num>
  <w:num w:numId="53" w16cid:durableId="482432313">
    <w:abstractNumId w:val="26"/>
  </w:num>
  <w:num w:numId="54" w16cid:durableId="746536776">
    <w:abstractNumId w:val="14"/>
  </w:num>
  <w:num w:numId="55" w16cid:durableId="1379548821">
    <w:abstractNumId w:val="36"/>
  </w:num>
  <w:num w:numId="56" w16cid:durableId="2066098348">
    <w:abstractNumId w:val="43"/>
  </w:num>
  <w:num w:numId="57" w16cid:durableId="36009232">
    <w:abstractNumId w:val="33"/>
  </w:num>
  <w:num w:numId="58" w16cid:durableId="1470200739">
    <w:abstractNumId w:val="46"/>
  </w:num>
  <w:num w:numId="59" w16cid:durableId="1884554176">
    <w:abstractNumId w:val="61"/>
  </w:num>
  <w:num w:numId="60" w16cid:durableId="549923271">
    <w:abstractNumId w:val="39"/>
  </w:num>
  <w:num w:numId="61" w16cid:durableId="1968124216">
    <w:abstractNumId w:val="30"/>
  </w:num>
  <w:num w:numId="62" w16cid:durableId="2030139300">
    <w:abstractNumId w:val="20"/>
  </w:num>
  <w:num w:numId="63" w16cid:durableId="1473205752">
    <w:abstractNumId w:val="47"/>
  </w:num>
  <w:num w:numId="64" w16cid:durableId="2119593424">
    <w:abstractNumId w:val="13"/>
  </w:num>
  <w:num w:numId="65" w16cid:durableId="1567254028">
    <w:abstractNumId w:val="67"/>
  </w:num>
  <w:num w:numId="66" w16cid:durableId="409929883">
    <w:abstractNumId w:val="38"/>
  </w:num>
  <w:num w:numId="67" w16cid:durableId="1375159502">
    <w:abstractNumId w:val="44"/>
  </w:num>
  <w:num w:numId="68" w16cid:durableId="1195733774">
    <w:abstractNumId w:val="27"/>
  </w:num>
  <w:num w:numId="69" w16cid:durableId="464617331">
    <w:abstractNumId w:val="52"/>
  </w:num>
  <w:num w:numId="70" w16cid:durableId="1264190248">
    <w:abstractNumId w:val="40"/>
  </w:num>
  <w:num w:numId="71" w16cid:durableId="62141988">
    <w:abstractNumId w:val="4"/>
  </w:num>
  <w:num w:numId="72" w16cid:durableId="405345126">
    <w:abstractNumId w:val="15"/>
  </w:num>
  <w:num w:numId="73" w16cid:durableId="115923149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1A"/>
    <w:rsid w:val="0000345F"/>
    <w:rsid w:val="0001385C"/>
    <w:rsid w:val="00024A9D"/>
    <w:rsid w:val="00035F7D"/>
    <w:rsid w:val="00041161"/>
    <w:rsid w:val="000429F2"/>
    <w:rsid w:val="00065645"/>
    <w:rsid w:val="00071496"/>
    <w:rsid w:val="00077C9B"/>
    <w:rsid w:val="00081BE1"/>
    <w:rsid w:val="00086FED"/>
    <w:rsid w:val="00091485"/>
    <w:rsid w:val="000935D4"/>
    <w:rsid w:val="000A0D7C"/>
    <w:rsid w:val="000A65A5"/>
    <w:rsid w:val="000B5263"/>
    <w:rsid w:val="000B6850"/>
    <w:rsid w:val="000C1566"/>
    <w:rsid w:val="000E5668"/>
    <w:rsid w:val="000F791B"/>
    <w:rsid w:val="00110010"/>
    <w:rsid w:val="00137C2C"/>
    <w:rsid w:val="00140E60"/>
    <w:rsid w:val="00156841"/>
    <w:rsid w:val="00181CCB"/>
    <w:rsid w:val="001820FD"/>
    <w:rsid w:val="00191650"/>
    <w:rsid w:val="001A122C"/>
    <w:rsid w:val="001B3110"/>
    <w:rsid w:val="001C5AC8"/>
    <w:rsid w:val="00214BDF"/>
    <w:rsid w:val="002433C8"/>
    <w:rsid w:val="00245ACC"/>
    <w:rsid w:val="00256C32"/>
    <w:rsid w:val="00265F66"/>
    <w:rsid w:val="00275DA7"/>
    <w:rsid w:val="002938A9"/>
    <w:rsid w:val="00297814"/>
    <w:rsid w:val="002A5798"/>
    <w:rsid w:val="002A7CD7"/>
    <w:rsid w:val="002A7D42"/>
    <w:rsid w:val="002D19F8"/>
    <w:rsid w:val="002E0546"/>
    <w:rsid w:val="002E6E87"/>
    <w:rsid w:val="002F02AE"/>
    <w:rsid w:val="002F27C5"/>
    <w:rsid w:val="002F3C1D"/>
    <w:rsid w:val="00301298"/>
    <w:rsid w:val="0033373A"/>
    <w:rsid w:val="00333FE3"/>
    <w:rsid w:val="0034610F"/>
    <w:rsid w:val="003562E9"/>
    <w:rsid w:val="00362DA3"/>
    <w:rsid w:val="00381DB0"/>
    <w:rsid w:val="00390120"/>
    <w:rsid w:val="003D4013"/>
    <w:rsid w:val="003D45D3"/>
    <w:rsid w:val="003D5CEB"/>
    <w:rsid w:val="003F63C2"/>
    <w:rsid w:val="00400456"/>
    <w:rsid w:val="00433336"/>
    <w:rsid w:val="00437681"/>
    <w:rsid w:val="0044082F"/>
    <w:rsid w:val="00443169"/>
    <w:rsid w:val="004515BC"/>
    <w:rsid w:val="0045167A"/>
    <w:rsid w:val="0047287D"/>
    <w:rsid w:val="00473E69"/>
    <w:rsid w:val="004836BB"/>
    <w:rsid w:val="0048504D"/>
    <w:rsid w:val="00495E90"/>
    <w:rsid w:val="004974C5"/>
    <w:rsid w:val="004A20EF"/>
    <w:rsid w:val="004C7BC2"/>
    <w:rsid w:val="004E3CDE"/>
    <w:rsid w:val="004E50F5"/>
    <w:rsid w:val="004F1E39"/>
    <w:rsid w:val="004F3458"/>
    <w:rsid w:val="004F4BE3"/>
    <w:rsid w:val="004F5B55"/>
    <w:rsid w:val="005041CD"/>
    <w:rsid w:val="00510884"/>
    <w:rsid w:val="005176AC"/>
    <w:rsid w:val="00536F5E"/>
    <w:rsid w:val="00537520"/>
    <w:rsid w:val="00550E57"/>
    <w:rsid w:val="00562892"/>
    <w:rsid w:val="005655C2"/>
    <w:rsid w:val="00570D30"/>
    <w:rsid w:val="00594461"/>
    <w:rsid w:val="005B308E"/>
    <w:rsid w:val="005B3C1A"/>
    <w:rsid w:val="005C6370"/>
    <w:rsid w:val="005C676B"/>
    <w:rsid w:val="005D772D"/>
    <w:rsid w:val="005F3829"/>
    <w:rsid w:val="006057C3"/>
    <w:rsid w:val="0061580A"/>
    <w:rsid w:val="00615C3F"/>
    <w:rsid w:val="00623929"/>
    <w:rsid w:val="00627F51"/>
    <w:rsid w:val="00637F69"/>
    <w:rsid w:val="0066240F"/>
    <w:rsid w:val="006707EF"/>
    <w:rsid w:val="00675E63"/>
    <w:rsid w:val="0068068D"/>
    <w:rsid w:val="00695E8D"/>
    <w:rsid w:val="006A5B3F"/>
    <w:rsid w:val="006A6FAD"/>
    <w:rsid w:val="006B2C82"/>
    <w:rsid w:val="006D39A7"/>
    <w:rsid w:val="006D3D88"/>
    <w:rsid w:val="006F2507"/>
    <w:rsid w:val="006F5DDB"/>
    <w:rsid w:val="006F6CCE"/>
    <w:rsid w:val="00713065"/>
    <w:rsid w:val="0071347A"/>
    <w:rsid w:val="00726376"/>
    <w:rsid w:val="00743796"/>
    <w:rsid w:val="00745E42"/>
    <w:rsid w:val="0076361D"/>
    <w:rsid w:val="00772A8A"/>
    <w:rsid w:val="00781718"/>
    <w:rsid w:val="007B3EE8"/>
    <w:rsid w:val="00851604"/>
    <w:rsid w:val="00856661"/>
    <w:rsid w:val="008760B4"/>
    <w:rsid w:val="008767C7"/>
    <w:rsid w:val="0088681C"/>
    <w:rsid w:val="008A0824"/>
    <w:rsid w:val="008C29B5"/>
    <w:rsid w:val="008D5ADF"/>
    <w:rsid w:val="008E43E7"/>
    <w:rsid w:val="008F0FD9"/>
    <w:rsid w:val="008F12BB"/>
    <w:rsid w:val="008F52B4"/>
    <w:rsid w:val="0090628E"/>
    <w:rsid w:val="009112D9"/>
    <w:rsid w:val="009204C3"/>
    <w:rsid w:val="00924435"/>
    <w:rsid w:val="00940359"/>
    <w:rsid w:val="00940BB8"/>
    <w:rsid w:val="00947301"/>
    <w:rsid w:val="00955FAA"/>
    <w:rsid w:val="00963B1C"/>
    <w:rsid w:val="009679D3"/>
    <w:rsid w:val="00972233"/>
    <w:rsid w:val="0097475F"/>
    <w:rsid w:val="0099424F"/>
    <w:rsid w:val="00996BC5"/>
    <w:rsid w:val="009B0369"/>
    <w:rsid w:val="009B18EB"/>
    <w:rsid w:val="009C7AD8"/>
    <w:rsid w:val="009D007D"/>
    <w:rsid w:val="009E2298"/>
    <w:rsid w:val="009E3078"/>
    <w:rsid w:val="009E78F7"/>
    <w:rsid w:val="009F0702"/>
    <w:rsid w:val="009F582C"/>
    <w:rsid w:val="00A01693"/>
    <w:rsid w:val="00A01F9A"/>
    <w:rsid w:val="00A041B2"/>
    <w:rsid w:val="00A25946"/>
    <w:rsid w:val="00A36CF7"/>
    <w:rsid w:val="00A36E8E"/>
    <w:rsid w:val="00A458CA"/>
    <w:rsid w:val="00A519D9"/>
    <w:rsid w:val="00A90EE2"/>
    <w:rsid w:val="00A97B53"/>
    <w:rsid w:val="00AA2423"/>
    <w:rsid w:val="00AA25E7"/>
    <w:rsid w:val="00AB3577"/>
    <w:rsid w:val="00AC707E"/>
    <w:rsid w:val="00AD358C"/>
    <w:rsid w:val="00AE5B78"/>
    <w:rsid w:val="00AE5F4D"/>
    <w:rsid w:val="00AE7436"/>
    <w:rsid w:val="00AF1195"/>
    <w:rsid w:val="00AF1A5D"/>
    <w:rsid w:val="00AF4825"/>
    <w:rsid w:val="00B01A12"/>
    <w:rsid w:val="00B131AE"/>
    <w:rsid w:val="00B14237"/>
    <w:rsid w:val="00B221B7"/>
    <w:rsid w:val="00B32B83"/>
    <w:rsid w:val="00B62991"/>
    <w:rsid w:val="00B661F5"/>
    <w:rsid w:val="00B85377"/>
    <w:rsid w:val="00BA019A"/>
    <w:rsid w:val="00BA1F88"/>
    <w:rsid w:val="00BA483A"/>
    <w:rsid w:val="00BC3F4A"/>
    <w:rsid w:val="00BC67E3"/>
    <w:rsid w:val="00BD61AC"/>
    <w:rsid w:val="00BF485A"/>
    <w:rsid w:val="00C020A9"/>
    <w:rsid w:val="00C07174"/>
    <w:rsid w:val="00C07AA8"/>
    <w:rsid w:val="00C15ACF"/>
    <w:rsid w:val="00C22C50"/>
    <w:rsid w:val="00C303CA"/>
    <w:rsid w:val="00C30AFC"/>
    <w:rsid w:val="00C30EEC"/>
    <w:rsid w:val="00C32AD9"/>
    <w:rsid w:val="00C35125"/>
    <w:rsid w:val="00C55543"/>
    <w:rsid w:val="00C634E1"/>
    <w:rsid w:val="00C65132"/>
    <w:rsid w:val="00C66CE8"/>
    <w:rsid w:val="00C67D63"/>
    <w:rsid w:val="00C81947"/>
    <w:rsid w:val="00C90063"/>
    <w:rsid w:val="00C90CB4"/>
    <w:rsid w:val="00CB4DDD"/>
    <w:rsid w:val="00CC4915"/>
    <w:rsid w:val="00CD0399"/>
    <w:rsid w:val="00D0354C"/>
    <w:rsid w:val="00D104E0"/>
    <w:rsid w:val="00D14A23"/>
    <w:rsid w:val="00D26B84"/>
    <w:rsid w:val="00D3777C"/>
    <w:rsid w:val="00D4486F"/>
    <w:rsid w:val="00D5211B"/>
    <w:rsid w:val="00D54EFD"/>
    <w:rsid w:val="00D559ED"/>
    <w:rsid w:val="00D679D1"/>
    <w:rsid w:val="00D87CDA"/>
    <w:rsid w:val="00DC118D"/>
    <w:rsid w:val="00DD6A60"/>
    <w:rsid w:val="00DE0C0E"/>
    <w:rsid w:val="00E34815"/>
    <w:rsid w:val="00E4509A"/>
    <w:rsid w:val="00E824D5"/>
    <w:rsid w:val="00ED7F6F"/>
    <w:rsid w:val="00EF0823"/>
    <w:rsid w:val="00EF5222"/>
    <w:rsid w:val="00F1585E"/>
    <w:rsid w:val="00F361C2"/>
    <w:rsid w:val="00F44508"/>
    <w:rsid w:val="00F46C61"/>
    <w:rsid w:val="00F66005"/>
    <w:rsid w:val="00F75B7F"/>
    <w:rsid w:val="00F81167"/>
    <w:rsid w:val="00F8143D"/>
    <w:rsid w:val="00F85157"/>
    <w:rsid w:val="00FA1B1C"/>
    <w:rsid w:val="00FB4014"/>
    <w:rsid w:val="00FC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40FA"/>
  <w15:chartTrackingRefBased/>
  <w15:docId w15:val="{99497FB4-DB54-B845-B9E3-709C8790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8760B4"/>
    <w:pPr>
      <w:keepNext/>
      <w:keepLines/>
      <w:pBdr>
        <w:top w:val="single" w:sz="24" w:space="18" w:color="2A2A2A" w:themeColor="text2"/>
      </w:pBdr>
      <w:spacing w:before="240" w:after="320"/>
      <w:ind w:right="360"/>
      <w:contextualSpacing/>
      <w:outlineLvl w:val="1"/>
    </w:pPr>
    <w:rPr>
      <w:rFonts w:eastAsiaTheme="majorEastAsia" w:cstheme="majorBidi"/>
      <w:b/>
      <w:noProof/>
      <w:color w:val="0E7C9E"/>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8760B4"/>
    <w:rPr>
      <w:rFonts w:ascii="Open Sans" w:eastAsiaTheme="majorEastAsia" w:hAnsi="Open Sans" w:cstheme="majorBidi"/>
      <w:b/>
      <w:noProof/>
      <w:color w:val="0E7C9E"/>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4836BB"/>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01385C"/>
    <w:pPr>
      <w:ind w:hanging="216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CommentText">
    <w:name w:val="annotation text"/>
    <w:basedOn w:val="Normal"/>
    <w:link w:val="CommentTextChar"/>
    <w:uiPriority w:val="99"/>
    <w:unhideWhenUsed/>
    <w:rsid w:val="008760B4"/>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8760B4"/>
    <w:rPr>
      <w:rFonts w:ascii="Calibri" w:eastAsia="MS Mincho" w:hAnsi="Calibri" w:cs="Calibri"/>
      <w:color w:val="auto"/>
      <w:sz w:val="20"/>
      <w:szCs w:val="20"/>
      <w:lang w:eastAsia="en-US"/>
    </w:rPr>
  </w:style>
  <w:style w:type="paragraph" w:customStyle="1" w:styleId="textAcknowledgement">
    <w:name w:val="textAcknowledgement"/>
    <w:basedOn w:val="Normal"/>
    <w:qFormat/>
    <w:rsid w:val="009204C3"/>
    <w:rPr>
      <w:rFonts w:cstheme="minorHAnsi"/>
      <w:bCs/>
      <w:sz w:val="20"/>
      <w:szCs w:val="20"/>
    </w:rPr>
  </w:style>
  <w:style w:type="paragraph" w:customStyle="1" w:styleId="textAcknowledgementList">
    <w:name w:val="textAcknowledgementList"/>
    <w:basedOn w:val="ListBullet"/>
    <w:qFormat/>
    <w:rsid w:val="009204C3"/>
    <w:pPr>
      <w:numPr>
        <w:numId w:val="66"/>
      </w:numPr>
      <w:ind w:left="2520" w:hanging="270"/>
    </w:pPr>
    <w:rPr>
      <w:sz w:val="20"/>
      <w:szCs w:val="20"/>
    </w:rPr>
  </w:style>
  <w:style w:type="paragraph" w:customStyle="1" w:styleId="H6">
    <w:name w:val="H6"/>
    <w:basedOn w:val="Heading5"/>
    <w:qFormat/>
    <w:rsid w:val="0001385C"/>
    <w:pPr>
      <w:ind w:left="90" w:hanging="90"/>
    </w:pPr>
  </w:style>
  <w:style w:type="paragraph" w:customStyle="1" w:styleId="txtEnding">
    <w:name w:val="txtEnding"/>
    <w:basedOn w:val="TableBody"/>
    <w:qFormat/>
    <w:rsid w:val="0001385C"/>
    <w:rPr>
      <w:rFonts w:eastAsia="Lato"/>
    </w:rPr>
  </w:style>
  <w:style w:type="paragraph" w:customStyle="1" w:styleId="txtEndingBullet">
    <w:name w:val="txtEndingBullet"/>
    <w:basedOn w:val="TableBody"/>
    <w:qFormat/>
    <w:rsid w:val="0001385C"/>
    <w:pPr>
      <w:numPr>
        <w:numId w:val="70"/>
      </w:numPr>
    </w:pPr>
    <w:rPr>
      <w:rFonts w:eastAsia="Lato"/>
    </w:rPr>
  </w:style>
  <w:style w:type="paragraph" w:customStyle="1" w:styleId="txtEndingBullet2">
    <w:name w:val="txtEndingBullet2"/>
    <w:basedOn w:val="TableBody"/>
    <w:qFormat/>
    <w:rsid w:val="0001385C"/>
    <w:pPr>
      <w:numPr>
        <w:numId w:val="72"/>
      </w:numPr>
    </w:pPr>
    <w:rPr>
      <w:rFonts w:eastAsia="Lato"/>
    </w:rPr>
  </w:style>
  <w:style w:type="paragraph" w:styleId="Header">
    <w:name w:val="header"/>
    <w:basedOn w:val="Normal"/>
    <w:link w:val="HeaderChar"/>
    <w:uiPriority w:val="99"/>
    <w:unhideWhenUsed/>
    <w:qFormat/>
    <w:rsid w:val="0061580A"/>
    <w:pPr>
      <w:tabs>
        <w:tab w:val="center" w:pos="4680"/>
        <w:tab w:val="right" w:pos="9360"/>
      </w:tabs>
    </w:pPr>
  </w:style>
  <w:style w:type="character" w:customStyle="1" w:styleId="HeaderChar">
    <w:name w:val="Header Char"/>
    <w:basedOn w:val="DefaultParagraphFont"/>
    <w:link w:val="Header"/>
    <w:uiPriority w:val="99"/>
    <w:rsid w:val="0061580A"/>
    <w:rPr>
      <w:rFonts w:ascii="Open Sans" w:eastAsia="Times New Roman" w:hAnsi="Open San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614828040">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E13A9F-C83D-DC47-A02B-B733E45600AD}">
  <we:reference id="wa104380278" version="1.0.0.6" store="en-US" storeType="OMEX"/>
  <we:alternateReferences>
    <we:reference id="WA104380278" version="1.0.0.6"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cp:revision>
  <dcterms:created xsi:type="dcterms:W3CDTF">2024-06-10T17:57:00Z</dcterms:created>
  <dcterms:modified xsi:type="dcterms:W3CDTF">2024-06-17T17:33:00Z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