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9C71" w14:textId="77777777" w:rsidR="00B67C3B" w:rsidRPr="009C6898" w:rsidRDefault="00B67C3B" w:rsidP="00B67C3B">
      <w:pPr>
        <w:pStyle w:val="ListBullet"/>
        <w:numPr>
          <w:ilvl w:val="0"/>
          <w:numId w:val="0"/>
        </w:numPr>
        <w:ind w:left="2430" w:hanging="270"/>
      </w:pPr>
    </w:p>
    <w:p w14:paraId="27197DBC" w14:textId="77777777" w:rsidR="00B67C3B" w:rsidRPr="001E6B70" w:rsidRDefault="00B67C3B" w:rsidP="00B67C3B">
      <w:pPr>
        <w:pStyle w:val="Heading2"/>
        <w:spacing w:before="240"/>
        <w:rPr>
          <w:rFonts w:cstheme="majorHAnsi"/>
        </w:rPr>
      </w:pPr>
      <w:bookmarkStart w:id="0" w:name="_Toc111053431"/>
      <w:r w:rsidRPr="001E6B70">
        <w:rPr>
          <w:rFonts w:cstheme="majorHAnsi"/>
        </w:rPr>
        <w:t>Optimization of Triple P Implementation &amp; Scale-Up Outcomes</w:t>
      </w:r>
      <w:bookmarkEnd w:id="0"/>
    </w:p>
    <w:p w14:paraId="17F9513E" w14:textId="77777777" w:rsidR="00B67C3B" w:rsidRPr="001E6B70" w:rsidRDefault="00B67C3B" w:rsidP="00B67C3B">
      <w:r w:rsidRPr="001E6B70">
        <w:t xml:space="preserve">The ICTP projects promote the idea that implementation and program outcomes can be optimized in the local context </w:t>
      </w:r>
      <w:r w:rsidRPr="001E6B70">
        <w:fldChar w:fldCharType="begin"/>
      </w:r>
      <w:r w:rsidRPr="001E6B70">
        <w:instrText xml:space="preserve"> ADDIN EN.CITE &lt;EndNote&gt;&lt;Cite&gt;&lt;Author&gt;Chambers&lt;/Author&gt;&lt;Year&gt;2013&lt;/Year&gt;&lt;RecNum&gt;3225&lt;/RecNum&gt;&lt;DisplayText&gt;[74]&lt;/DisplayText&gt;&lt;record&gt;&lt;rec-number&gt;3225&lt;/rec-number&gt;&lt;foreign-keys&gt;&lt;key app="EN" db-id="pvptrewfp2dp5ges5fvv9fwmrswzf9twp9xa" timestamp="1468613591"&gt;3225&lt;/key&gt;&lt;/foreign-keys&gt;&lt;ref-type name="Journal Article"&gt;17&lt;/ref-type&gt;&lt;contributors&gt;&lt;authors&gt;&lt;author&gt;Chambers, David A.&lt;/author&gt;&lt;author&gt;Glasgow, Russell E.&lt;/author&gt;&lt;author&gt;Stange, Kurt C.&lt;/author&gt;&lt;/authors&gt;&lt;/contributors&gt;&lt;titles&gt;&lt;title&gt;The dynamic sustainability framework: addressing the paradox of sustainment amid ongoing change&lt;/title&gt;&lt;secondary-title&gt;Implementation Science&lt;/secondary-title&gt;&lt;/titles&gt;&lt;periodical&gt;&lt;full-title&gt;Implementation Science&lt;/full-title&gt;&lt;/periodical&gt;&lt;pages&gt;1-11&lt;/pages&gt;&lt;volume&gt;8&lt;/volume&gt;&lt;number&gt;1&lt;/number&gt;&lt;dates&gt;&lt;year&gt;2013&lt;/year&gt;&lt;/dates&gt;&lt;isbn&gt;1748-5908&lt;/isbn&gt;&lt;label&gt;Chambers2013&lt;/label&gt;&lt;work-type&gt;journal article&lt;/work-type&gt;&lt;urls&gt;&lt;related-urls&gt;&lt;url&gt;http://dx.doi.org/10.1186/1748-5908-8-117&lt;/url&gt;&lt;/related-urls&gt;&lt;/urls&gt;&lt;electronic-resource-num&gt;10.1186/1748-5908-8-117&lt;/electronic-resource-num&gt;&lt;/record&gt;&lt;/Cite&gt;&lt;/EndNote&gt;</w:instrText>
      </w:r>
      <w:r w:rsidRPr="001E6B70">
        <w:fldChar w:fldCharType="separate"/>
      </w:r>
      <w:r w:rsidRPr="001E6B70">
        <w:rPr>
          <w:noProof/>
        </w:rPr>
        <w:t>[7</w:t>
      </w:r>
      <w:r>
        <w:rPr>
          <w:noProof/>
        </w:rPr>
        <w:t>3</w:t>
      </w:r>
      <w:r w:rsidRPr="001E6B70">
        <w:rPr>
          <w:noProof/>
        </w:rPr>
        <w:t>]</w:t>
      </w:r>
      <w:r w:rsidRPr="001E6B70">
        <w:fldChar w:fldCharType="end"/>
      </w:r>
      <w:r w:rsidRPr="001E6B70">
        <w:t>. Hence, we refer to this section of the ICTP integrated theory of change as “</w:t>
      </w:r>
      <w:r w:rsidRPr="001E6B70">
        <w:rPr>
          <w:iCs/>
        </w:rPr>
        <w:t xml:space="preserve">Optimization of Triple P Implementation and Scale-Up Outcomes.” </w:t>
      </w:r>
      <w:r w:rsidRPr="001E6B70">
        <w:t xml:space="preserve">Implementation capacity and performance are primary influencers of implementation outcomes </w:t>
      </w:r>
      <w:r w:rsidRPr="001E6B70">
        <w:fldChar w:fldCharType="begin"/>
      </w:r>
      <w:r w:rsidRPr="001E6B70">
        <w:instrText xml:space="preserve"> ADDIN EN.CITE &lt;EndNote&gt;&lt;Cite&gt;&lt;Author&gt;Chinman&lt;/Author&gt;&lt;Year&gt;2016&lt;/Year&gt;&lt;RecNum&gt;3346&lt;/RecNum&gt;&lt;DisplayText&gt;[3]&lt;/DisplayText&gt;&lt;record&gt;&lt;rec-number&gt;3346&lt;/rec-number&gt;&lt;foreign-keys&gt;&lt;key app="EN" db-id="92tw0sxaredrdoeva2ovde9md0ept0ezp55z" timestamp="0"&gt;3346&lt;/key&gt;&lt;/foreign-keys&gt;&lt;ref-type name="Journal Article"&gt;17&lt;/ref-type&gt;&lt;contributors&gt;&lt;authors&gt;&lt;author&gt;Chinman, M.&lt;/author&gt;&lt;author&gt;Acosta, J.&lt;/author&gt;&lt;author&gt;Ebener, P.&lt;/author&gt;&lt;author&gt;Malone, P. S.&lt;/author&gt;&lt;author&gt;Slaughter, M. E.&lt;/author&gt;&lt;/authors&gt;&lt;/contributors&gt;&lt;auth-address&gt;RAND Corporation, 4570 Fifth Avenue, Pittsburgh, PA, 15213, USA. Chinman@rand.org.&amp;#xD;RAND Corporation, 4570 Fifth Avenue, Pittsburgh, PA, 15213, USA.&lt;/auth-address&gt;&lt;titles&gt;&lt;title&gt;Can implementation support help community-based settings better deliver evidence-based sexual health promotion programs? A randomized trial of Getting To Outcomes®&lt;/title&gt;&lt;secondary-title&gt;Implementation Science&lt;/secondary-title&gt;&lt;alt-title&gt;Implementation science : IS&lt;/alt-title&gt;&lt;/titles&gt;&lt;periodical&gt;&lt;full-title&gt;Implementation Science&lt;/full-title&gt;&lt;/periodical&gt;&lt;alt-periodical&gt;&lt;full-title&gt;Implementation science : IS&lt;/full-title&gt;&lt;/alt-periodical&gt;&lt;pages&gt;78&lt;/pages&gt;&lt;volume&gt;11&lt;/volume&gt;&lt;number&gt;1&lt;/number&gt;&lt;edition&gt;2016/06/02&lt;/edition&gt;&lt;keywords&gt;&lt;keyword&gt;Community-based&lt;/keyword&gt;&lt;keyword&gt;Evidence-based prevention&lt;/keyword&gt;&lt;keyword&gt;Fidelity&lt;/keyword&gt;&lt;keyword&gt;Implementation support&lt;/keyword&gt;&lt;/keywords&gt;&lt;dates&gt;&lt;year&gt;2016&lt;/year&gt;&lt;/dates&gt;&lt;isbn&gt;1748-5908&lt;/isbn&gt;&lt;accession-num&gt;27245158&lt;/accession-num&gt;&lt;urls&gt;&lt;/urls&gt;&lt;custom2&gt;PMC4886421&lt;/custom2&gt;&lt;electronic-resource-num&gt;10.1186/s13012-016-0446-y&lt;/electronic-resource-num&gt;&lt;remote-database-provider&gt;NLM&lt;/remote-database-provider&gt;&lt;language&gt;eng&lt;/language&gt;&lt;/record&gt;&lt;/Cite&gt;&lt;/EndNote&gt;</w:instrText>
      </w:r>
      <w:r w:rsidRPr="001E6B70">
        <w:fldChar w:fldCharType="separate"/>
      </w:r>
      <w:r w:rsidRPr="001E6B70">
        <w:rPr>
          <w:noProof/>
        </w:rPr>
        <w:t>[1]</w:t>
      </w:r>
      <w:r w:rsidRPr="001E6B70">
        <w:fldChar w:fldCharType="end"/>
      </w:r>
      <w:r w:rsidRPr="001E6B70">
        <w:t xml:space="preserve">. Perhaps the most well-recognized implementation outcome is </w:t>
      </w:r>
      <w:r w:rsidRPr="001E6B70">
        <w:rPr>
          <w:i/>
        </w:rPr>
        <w:t>fidelity—</w:t>
      </w:r>
      <w:r w:rsidRPr="001E6B70">
        <w:rPr>
          <w:iCs/>
        </w:rPr>
        <w:t>delivery of a program as intended</w:t>
      </w:r>
      <w:r w:rsidRPr="001E6B70">
        <w:t>. However, several other implementation outcomes are also important, particularly as related to achieving favorable service and client outcomes at scale.</w:t>
      </w:r>
      <w:r>
        <w:t xml:space="preserve"> </w:t>
      </w:r>
    </w:p>
    <w:p w14:paraId="52AE76FD" w14:textId="77777777" w:rsidR="00B67C3B" w:rsidRPr="001E6B70" w:rsidRDefault="00B67C3B" w:rsidP="00B67C3B"/>
    <w:p w14:paraId="0A179BFC" w14:textId="77777777" w:rsidR="00B67C3B" w:rsidRPr="001E6B70" w:rsidRDefault="00B67C3B" w:rsidP="00B67C3B">
      <w:r w:rsidRPr="001E6B70">
        <w:t xml:space="preserve">Proctor and colleagues </w:t>
      </w:r>
      <w:r w:rsidRPr="001E6B70">
        <w:fldChar w:fldCharType="begin"/>
      </w:r>
      <w:r w:rsidRPr="001E6B70">
        <w:instrText xml:space="preserve"> ADDIN EN.CITE &lt;EndNote&gt;&lt;Cite&gt;&lt;Author&gt;Proctor&lt;/Author&gt;&lt;Year&gt;2011&lt;/Year&gt;&lt;RecNum&gt;3376&lt;/RecNum&gt;&lt;DisplayText&gt;[9]&lt;/DisplayText&gt;&lt;record&gt;&lt;rec-number&gt;3376&lt;/rec-number&gt;&lt;foreign-keys&gt;&lt;key app="EN" db-id="92tw0sxaredrdoeva2ovde9md0ept0ezp55z" timestamp="0"&gt;3376&lt;/key&gt;&lt;/foreign-keys&gt;&lt;ref-type name="Journal Article"&gt;17&lt;/ref-type&gt;&lt;contributors&gt;&lt;authors&gt;&lt;author&gt;Proctor, Enola&lt;/author&gt;&lt;author&gt;Silmere, Hiie&lt;/author&gt;&lt;author&gt;Raghavan, Ramesh&lt;/author&gt;&lt;author&gt;Hovmand, Peter&lt;/author&gt;&lt;author&gt;Aarons, Greg&lt;/author&gt;&lt;author&gt;Bunger, Alicia&lt;/author&gt;&lt;author&gt;Griffey, Richard&lt;/author&gt;&lt;author&gt;Hensley, Melissa&lt;/author&gt;&lt;/authors&gt;&lt;/contributors&gt;&lt;titles&gt;&lt;title&gt;Outcomes for Implementation Research: Conceptual Distinctions, Measurement Challenges, and Research Agenda&lt;/title&gt;&lt;secondary-title&gt;Administration and Policy in Mental Health and Mental Health Services Research&lt;/secondary-title&gt;&lt;/titles&gt;&lt;periodical&gt;&lt;full-title&gt;Administration and Policy in Mental Health and Mental Health Services Research&lt;/full-title&gt;&lt;/periodical&gt;&lt;pages&gt;65-76&lt;/pages&gt;&lt;volume&gt;38&lt;/volume&gt;&lt;number&gt;2&lt;/number&gt;&lt;dates&gt;&lt;year&gt;2011&lt;/year&gt;&lt;/dates&gt;&lt;isbn&gt;1573-3289&lt;/isbn&gt;&lt;label&gt;Proctor2011&lt;/label&gt;&lt;work-type&gt;journal article&lt;/work-type&gt;&lt;urls&gt;&lt;related-urls&gt;&lt;url&gt;http://dx.doi.org/10.1007/s10488-010-0319-7&lt;/url&gt;&lt;/related-urls&gt;&lt;/urls&gt;&lt;electronic-resource-num&gt;10.1007/s10488-010-0319-7&lt;/electronic-resource-num&gt;&lt;/record&gt;&lt;/Cite&gt;&lt;/EndNote&gt;</w:instrText>
      </w:r>
      <w:r w:rsidRPr="001E6B70">
        <w:fldChar w:fldCharType="separate"/>
      </w:r>
      <w:r w:rsidRPr="001E6B70">
        <w:rPr>
          <w:noProof/>
        </w:rPr>
        <w:t>[6]</w:t>
      </w:r>
      <w:r w:rsidRPr="001E6B70">
        <w:fldChar w:fldCharType="end"/>
      </w:r>
      <w:r w:rsidRPr="001E6B70">
        <w:t xml:space="preserve"> detail eight implementation outcomes: acceptability, adoption, appropriateness, cost, feasibility, fidelity, penetration, and sustainability. The ICTP integrated theory of change adapts and incorporates essential features of these and includes other implementation outcomes that may be of particular interest given Triple P’s model, history, and ongoing aims in the Carolinas:</w:t>
      </w:r>
    </w:p>
    <w:p w14:paraId="46C7BE61" w14:textId="77777777" w:rsidR="00B67C3B" w:rsidRPr="001E6B70" w:rsidRDefault="00B67C3B" w:rsidP="00B67C3B">
      <w:pPr>
        <w:pStyle w:val="ListBullet"/>
      </w:pPr>
      <w:r w:rsidRPr="001E6B70">
        <w:rPr>
          <w:b/>
        </w:rPr>
        <w:t>Accessibility</w:t>
      </w:r>
      <w:r w:rsidRPr="001E6B70">
        <w:rPr>
          <w:b/>
          <w:bCs/>
        </w:rPr>
        <w:t>.</w:t>
      </w:r>
      <w:r w:rsidRPr="001E6B70">
        <w:t xml:space="preserve"> Progressing beyond Proctor and colleagues’ </w:t>
      </w:r>
      <w:r w:rsidRPr="001E6B70">
        <w:rPr>
          <w:i/>
        </w:rPr>
        <w:t>adoption</w:t>
      </w:r>
      <w:r w:rsidRPr="001E6B70">
        <w:t xml:space="preserve"> outcome, we define </w:t>
      </w:r>
      <w:r w:rsidRPr="001E6B70">
        <w:rPr>
          <w:i/>
        </w:rPr>
        <w:t>accessibility</w:t>
      </w:r>
      <w:r w:rsidRPr="001E6B70">
        <w:t xml:space="preserve"> as the degree to which families can obtain Triple P services in accordance with the level of support they need or prefer.</w:t>
      </w:r>
    </w:p>
    <w:p w14:paraId="77DF730A" w14:textId="77777777" w:rsidR="00B67C3B" w:rsidRPr="001E6B70" w:rsidRDefault="00B67C3B" w:rsidP="00B67C3B">
      <w:pPr>
        <w:pStyle w:val="ListBullet"/>
      </w:pPr>
      <w:r w:rsidRPr="001E6B70">
        <w:rPr>
          <w:b/>
        </w:rPr>
        <w:t>System Alignment</w:t>
      </w:r>
      <w:r w:rsidRPr="001E6B70">
        <w:rPr>
          <w:b/>
          <w:bCs/>
        </w:rPr>
        <w:t>.</w:t>
      </w:r>
      <w:r w:rsidRPr="001E6B70">
        <w:t xml:space="preserve"> Not represented in Proctor and colleagues’ original list but important for any system of interventions like Triple P, </w:t>
      </w:r>
      <w:r w:rsidRPr="001E6B70">
        <w:rPr>
          <w:i/>
        </w:rPr>
        <w:t>system alignment</w:t>
      </w:r>
      <w:r w:rsidRPr="001E6B70">
        <w:t xml:space="preserve"> is defined by the ICTP projects as the degree to which community Triple P service providers and/or individual Triple P interventions work in concert toward collective well-being goals rather than in silos or fragmentation.</w:t>
      </w:r>
    </w:p>
    <w:p w14:paraId="524D44BD" w14:textId="77777777" w:rsidR="00B67C3B" w:rsidRPr="001E6B70" w:rsidRDefault="00B67C3B" w:rsidP="00B67C3B">
      <w:pPr>
        <w:pStyle w:val="ListBullet"/>
      </w:pPr>
      <w:r w:rsidRPr="001E6B70">
        <w:rPr>
          <w:b/>
        </w:rPr>
        <w:t>Feasibility</w:t>
      </w:r>
      <w:r w:rsidRPr="001E6B70">
        <w:rPr>
          <w:b/>
          <w:bCs/>
        </w:rPr>
        <w:t>.</w:t>
      </w:r>
      <w:r w:rsidRPr="001E6B70">
        <w:t xml:space="preserve"> Adapting Proctor and colleagues’ definition for the ICTP projects, </w:t>
      </w:r>
      <w:r w:rsidRPr="001E6B70">
        <w:rPr>
          <w:i/>
        </w:rPr>
        <w:t>feasibility</w:t>
      </w:r>
      <w:r w:rsidRPr="001E6B70">
        <w:t xml:space="preserve"> is the extent to which Triple P can be successfully used or carried out within a given setting (e.g., region, community, or organization). Feasibility </w:t>
      </w:r>
      <w:r>
        <w:t>hinges largely on</w:t>
      </w:r>
      <w:r w:rsidRPr="001E6B70">
        <w:t xml:space="preserve"> </w:t>
      </w:r>
      <w:proofErr w:type="gramStart"/>
      <w:r w:rsidRPr="001E6B70">
        <w:t>whether or not</w:t>
      </w:r>
      <w:proofErr w:type="gramEnd"/>
      <w:r w:rsidRPr="001E6B70">
        <w:t xml:space="preserve"> the local setting of care has the necessary financial, human, and implementation resources to support delivery of Triple P as intended. </w:t>
      </w:r>
    </w:p>
    <w:p w14:paraId="7952D51B" w14:textId="77777777" w:rsidR="00B67C3B" w:rsidRPr="001E6B70" w:rsidRDefault="00B67C3B" w:rsidP="00B67C3B">
      <w:pPr>
        <w:pStyle w:val="ListBullet"/>
      </w:pPr>
      <w:r w:rsidRPr="001E6B70">
        <w:rPr>
          <w:b/>
        </w:rPr>
        <w:t>Appropriateness</w:t>
      </w:r>
      <w:r w:rsidRPr="001E6B70">
        <w:rPr>
          <w:b/>
          <w:bCs/>
        </w:rPr>
        <w:t>.</w:t>
      </w:r>
      <w:r w:rsidRPr="001E6B70">
        <w:t xml:space="preserve"> Adapting Proctor and colleagues’ definition for the ICTP projects, </w:t>
      </w:r>
      <w:r w:rsidRPr="001E6B70">
        <w:rPr>
          <w:i/>
        </w:rPr>
        <w:t>appropriateness</w:t>
      </w:r>
      <w:r w:rsidRPr="001E6B70">
        <w:t xml:space="preserve"> is the perceived fit, relevance, or compatibility of Triple P for a given community, practice setting, practitioner, or </w:t>
      </w:r>
      <w:r w:rsidRPr="001E6B70">
        <w:lastRenderedPageBreak/>
        <w:t xml:space="preserve">caregiver/family; and/or the perceived fit of Triple P to address a particular issue or problem in the community or organization, or for a given practitioner or caregiver/family. When considered at the community level, </w:t>
      </w:r>
      <w:r w:rsidRPr="001E6B70">
        <w:rPr>
          <w:i/>
          <w:iCs/>
        </w:rPr>
        <w:t>appropriateness</w:t>
      </w:r>
      <w:r w:rsidRPr="001E6B70">
        <w:t xml:space="preserve"> should also include racialized histories of place that acknowledge the history and impacts of similar parenting and family support interventions.</w:t>
      </w:r>
    </w:p>
    <w:p w14:paraId="79C673D4" w14:textId="77777777" w:rsidR="00B67C3B" w:rsidRPr="008E2078" w:rsidRDefault="00B67C3B" w:rsidP="00B67C3B">
      <w:pPr>
        <w:pStyle w:val="ListBullet"/>
        <w:rPr>
          <w:rStyle w:val="Hyperlink"/>
        </w:rPr>
      </w:pPr>
      <w:r w:rsidRPr="001E6B70">
        <w:rPr>
          <w:b/>
        </w:rPr>
        <w:t xml:space="preserve">Fidelity. </w:t>
      </w:r>
      <w:r w:rsidRPr="008E2078">
        <w:t>Adapting Proctor and colleagues’ definition for the ICTP projects, fidelity is the degree to which Triple P is delivered as prescribed in current program protocols or as it was intended by Triple P program developers. Within ICTP, we consider Triple P fidelity related to the presence of core Triple P program components rather than just to session protocols. To learn more about core Triple P program components, view</w:t>
      </w:r>
      <w:r w:rsidRPr="001E6B70">
        <w:t xml:space="preserve"> </w:t>
      </w:r>
      <w:hyperlink r:id="rId8" w:history="1">
        <w:r w:rsidRPr="008E2078">
          <w:rPr>
            <w:rStyle w:val="Hyperlink"/>
            <w:rFonts w:eastAsiaTheme="majorEastAsia"/>
          </w:rPr>
          <w:t>Module 9 in the ICTP Simulation Lab</w:t>
        </w:r>
      </w:hyperlink>
      <w:r w:rsidRPr="008E2078">
        <w:rPr>
          <w:rStyle w:val="Hyperlink"/>
        </w:rPr>
        <w:t xml:space="preserve">. </w:t>
      </w:r>
    </w:p>
    <w:p w14:paraId="4D567224" w14:textId="77777777" w:rsidR="00B67C3B" w:rsidRPr="001E6B70" w:rsidRDefault="00B67C3B" w:rsidP="00B67C3B">
      <w:pPr>
        <w:pStyle w:val="ListBullet"/>
        <w:rPr>
          <w:bCs/>
        </w:rPr>
      </w:pPr>
      <w:r w:rsidRPr="001E6B70">
        <w:rPr>
          <w:bCs/>
        </w:rPr>
        <w:t xml:space="preserve">Dane and Schneider </w:t>
      </w:r>
      <w:r w:rsidRPr="001E6B70">
        <w:rPr>
          <w:bCs/>
        </w:rPr>
        <w:fldChar w:fldCharType="begin"/>
      </w:r>
      <w:r w:rsidRPr="001E6B70">
        <w:rPr>
          <w:bCs/>
        </w:rPr>
        <w:instrText xml:space="preserve"> ADDIN EN.CITE &lt;EndNote&gt;&lt;Cite&gt;&lt;Author&gt;Dane&lt;/Author&gt;&lt;Year&gt;1998&lt;/Year&gt;&lt;RecNum&gt;674&lt;/RecNum&gt;&lt;DisplayText&gt;[90]&lt;/DisplayText&gt;&lt;record&gt;&lt;rec-number&gt;674&lt;/rec-number&gt;&lt;foreign-keys&gt;&lt;key app="EN" db-id="92tw0sxaredrdoeva2ovde9md0ept0ezp55z" timestamp="0"&gt;674&lt;/key&gt;&lt;/foreign-keys&gt;&lt;ref-type name="Journal Article"&gt;17&lt;/ref-type&gt;&lt;contributors&gt;&lt;authors&gt;&lt;author&gt;Dane, A. V.&lt;/author&gt;&lt;author&gt;Schneider, B. H.&lt;/author&gt;&lt;/authors&gt;&lt;/contributors&gt;&lt;titles&gt;&lt;title&gt;Program integrity in primary and early secondary prevention: Are implementation effects out of control?&lt;/title&gt;&lt;secondary-title&gt;Clinical Psychology Review&lt;/secondary-title&gt;&lt;/titles&gt;&lt;periodical&gt;&lt;full-title&gt;Clinical Psychology Review&lt;/full-title&gt;&lt;/periodical&gt;&lt;pages&gt;23-45&lt;/pages&gt;&lt;volume&gt;18&lt;/volume&gt;&lt;number&gt;1&lt;/number&gt;&lt;dates&gt;&lt;year&gt;1998&lt;/year&gt;&lt;/dates&gt;&lt;urls&gt;&lt;/urls&gt;&lt;/record&gt;&lt;/Cite&gt;&lt;/EndNote&gt;</w:instrText>
      </w:r>
      <w:r w:rsidRPr="001E6B70">
        <w:rPr>
          <w:bCs/>
        </w:rPr>
        <w:fldChar w:fldCharType="separate"/>
      </w:r>
      <w:r w:rsidRPr="001E6B70">
        <w:rPr>
          <w:bCs/>
          <w:noProof/>
        </w:rPr>
        <w:t>[</w:t>
      </w:r>
      <w:r>
        <w:rPr>
          <w:bCs/>
          <w:noProof/>
        </w:rPr>
        <w:t>89</w:t>
      </w:r>
      <w:r w:rsidRPr="001E6B70">
        <w:rPr>
          <w:bCs/>
          <w:noProof/>
        </w:rPr>
        <w:t>]</w:t>
      </w:r>
      <w:r w:rsidRPr="001E6B70">
        <w:rPr>
          <w:bCs/>
        </w:rPr>
        <w:fldChar w:fldCharType="end"/>
      </w:r>
      <w:r>
        <w:rPr>
          <w:bCs/>
        </w:rPr>
        <w:t xml:space="preserve"> detailed f</w:t>
      </w:r>
      <w:r w:rsidRPr="001E6B70">
        <w:rPr>
          <w:bCs/>
        </w:rPr>
        <w:t>our dimensions of program fidelity relevant to community Triple P implementation</w:t>
      </w:r>
      <w:r>
        <w:rPr>
          <w:bCs/>
        </w:rPr>
        <w:t>, which</w:t>
      </w:r>
      <w:r w:rsidRPr="001E6B70">
        <w:rPr>
          <w:bCs/>
        </w:rPr>
        <w:t xml:space="preserve"> were later reinforced by Mihalic </w:t>
      </w:r>
      <w:r w:rsidRPr="001E6B70">
        <w:rPr>
          <w:bCs/>
        </w:rPr>
        <w:fldChar w:fldCharType="begin"/>
      </w:r>
      <w:r w:rsidRPr="001E6B70">
        <w:rPr>
          <w:bCs/>
        </w:rPr>
        <w:instrText xml:space="preserve"> ADDIN EN.CITE &lt;EndNote&gt;&lt;Cite&gt;&lt;Author&gt;Mihalic&lt;/Author&gt;&lt;Year&gt;2004&lt;/Year&gt;&lt;RecNum&gt;2039&lt;/RecNum&gt;&lt;DisplayText&gt;[91]&lt;/DisplayText&gt;&lt;record&gt;&lt;rec-number&gt;2039&lt;/rec-number&gt;&lt;foreign-keys&gt;&lt;key app="EN" db-id="92tw0sxaredrdoeva2ovde9md0ept0ezp55z" timestamp="0"&gt;2039&lt;/key&gt;&lt;/foreign-keys&gt;&lt;ref-type name="Journal Article"&gt;17&lt;/ref-type&gt;&lt;contributors&gt;&lt;authors&gt;&lt;author&gt;Mihalic, S&lt;/author&gt;&lt;/authors&gt;&lt;/contributors&gt;&lt;titles&gt;&lt;title&gt;The importance of implementation fidelity&lt;/title&gt;&lt;secondary-title&gt;Emotional and Behavioral Disorders in Youth&lt;/secondary-title&gt;&lt;alt-title&gt;Emotional and Behavioral Disorders in Youth&lt;/alt-title&gt;&lt;/titles&gt;&lt;periodical&gt;&lt;full-title&gt;Emot Behav Disord Youth&lt;/full-title&gt;&lt;abbr-1&gt;Emotional and Behavioral Disorders in Youth&lt;/abbr-1&gt;&lt;/periodical&gt;&lt;alt-periodical&gt;&lt;full-title&gt;Emot Behav Disord Youth&lt;/full-title&gt;&lt;abbr-1&gt;Emotional and Behavioral Disorders in Youth&lt;/abbr-1&gt;&lt;/alt-periodical&gt;&lt;pages&gt;83 - 105&lt;/pages&gt;&lt;volume&gt;4&lt;/volume&gt;&lt;dates&gt;&lt;year&gt;2004&lt;/year&gt;&lt;/dates&gt;&lt;urls&gt;&lt;/urls&gt;&lt;/record&gt;&lt;/Cite&gt;&lt;/EndNote&gt;</w:instrText>
      </w:r>
      <w:r w:rsidRPr="001E6B70">
        <w:rPr>
          <w:bCs/>
        </w:rPr>
        <w:fldChar w:fldCharType="separate"/>
      </w:r>
      <w:r w:rsidRPr="001E6B70">
        <w:rPr>
          <w:bCs/>
          <w:noProof/>
        </w:rPr>
        <w:t>[9</w:t>
      </w:r>
      <w:r>
        <w:rPr>
          <w:bCs/>
          <w:noProof/>
        </w:rPr>
        <w:t>0</w:t>
      </w:r>
      <w:r w:rsidRPr="001E6B70">
        <w:rPr>
          <w:bCs/>
          <w:noProof/>
        </w:rPr>
        <w:t>]</w:t>
      </w:r>
      <w:r w:rsidRPr="001E6B70">
        <w:rPr>
          <w:bCs/>
        </w:rPr>
        <w:fldChar w:fldCharType="end"/>
      </w:r>
      <w:r w:rsidRPr="001E6B70">
        <w:rPr>
          <w:bCs/>
        </w:rPr>
        <w:t xml:space="preserve">. </w:t>
      </w:r>
      <w:r w:rsidRPr="001E6B70">
        <w:t>We adapt those definitions for the ICTP projects as follows</w:t>
      </w:r>
      <w:r w:rsidRPr="001E6B70">
        <w:rPr>
          <w:bCs/>
        </w:rPr>
        <w:t>:</w:t>
      </w:r>
    </w:p>
    <w:p w14:paraId="0865BF1A" w14:textId="77777777" w:rsidR="00B67C3B" w:rsidRPr="001E6B70" w:rsidRDefault="00B67C3B" w:rsidP="00B67C3B">
      <w:pPr>
        <w:pStyle w:val="ListBullet"/>
        <w:numPr>
          <w:ilvl w:val="0"/>
          <w:numId w:val="77"/>
        </w:numPr>
        <w:ind w:left="2790"/>
      </w:pPr>
      <w:r w:rsidRPr="001E6B70">
        <w:rPr>
          <w:i/>
        </w:rPr>
        <w:t>Adherence</w:t>
      </w:r>
      <w:r w:rsidRPr="001E6B70">
        <w:t xml:space="preserve"> refers to whether Triple P is being delivered as it was designed or written (i.e., with all core components being delivered to the appropriate population; practitioners trained appropriately; using the right protocols, techniques, and materials; and in the locations or contexts prescribed).</w:t>
      </w:r>
    </w:p>
    <w:p w14:paraId="4260EAC3" w14:textId="77777777" w:rsidR="00B67C3B" w:rsidRPr="001E6B70" w:rsidRDefault="00B67C3B" w:rsidP="00B67C3B">
      <w:pPr>
        <w:pStyle w:val="ListBullet"/>
        <w:numPr>
          <w:ilvl w:val="0"/>
          <w:numId w:val="77"/>
        </w:numPr>
        <w:ind w:left="2790"/>
      </w:pPr>
      <w:r>
        <w:rPr>
          <w:rFonts w:eastAsia="Libre Baskerville"/>
          <w:noProof/>
        </w:rPr>
        <w:lastRenderedPageBreak/>
        <mc:AlternateContent>
          <mc:Choice Requires="wps">
            <w:drawing>
              <wp:anchor distT="0" distB="0" distL="114300" distR="274320" simplePos="0" relativeHeight="251659264" behindDoc="0" locked="0" layoutInCell="1" allowOverlap="0" wp14:anchorId="00DDED08" wp14:editId="5CDB01EE">
                <wp:simplePos x="0" y="0"/>
                <wp:positionH relativeFrom="column">
                  <wp:posOffset>-327660</wp:posOffset>
                </wp:positionH>
                <wp:positionV relativeFrom="paragraph">
                  <wp:posOffset>108797</wp:posOffset>
                </wp:positionV>
                <wp:extent cx="1614170" cy="5383530"/>
                <wp:effectExtent l="0" t="0" r="24130" b="13970"/>
                <wp:wrapThrough wrapText="right">
                  <wp:wrapPolygon edited="0">
                    <wp:start x="0" y="0"/>
                    <wp:lineTo x="0" y="21605"/>
                    <wp:lineTo x="16485" y="21605"/>
                    <wp:lineTo x="16485" y="11414"/>
                    <wp:lineTo x="21753" y="10904"/>
                    <wp:lineTo x="21753" y="10752"/>
                    <wp:lineTo x="16485" y="10599"/>
                    <wp:lineTo x="16485" y="0"/>
                    <wp:lineTo x="0" y="0"/>
                  </wp:wrapPolygon>
                </wp:wrapThrough>
                <wp:docPr id="1716803433" name="Rectangle 3"/>
                <wp:cNvGraphicFramePr/>
                <a:graphic xmlns:a="http://schemas.openxmlformats.org/drawingml/2006/main">
                  <a:graphicData uri="http://schemas.microsoft.com/office/word/2010/wordprocessingShape">
                    <wps:wsp>
                      <wps:cNvSpPr/>
                      <wps:spPr>
                        <a:xfrm>
                          <a:off x="0" y="0"/>
                          <a:ext cx="1614170" cy="5383530"/>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39196" h="3560445">
                              <a:moveTo>
                                <a:pt x="0" y="0"/>
                              </a:moveTo>
                              <a:lnTo>
                                <a:pt x="1142500" y="0"/>
                              </a:lnTo>
                              <a:lnTo>
                                <a:pt x="1142500" y="1780223"/>
                              </a:lnTo>
                              <a:lnTo>
                                <a:pt x="1318736" y="1780223"/>
                              </a:lnTo>
                              <a:lnTo>
                                <a:pt x="1318736" y="1780223"/>
                              </a:lnTo>
                              <a:lnTo>
                                <a:pt x="1539196" y="1784437"/>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632E2B18" w14:textId="77777777" w:rsidR="00B67C3B" w:rsidRDefault="00B67C3B" w:rsidP="00B67C3B">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 xml:space="preserve">EQUITY IN </w:t>
                            </w:r>
                            <w:r>
                              <w:rPr>
                                <w:color w:val="000000" w:themeColor="text1"/>
                                <w:sz w:val="16"/>
                                <w:szCs w:val="16"/>
                                <w14:textOutline w14:w="12700" w14:cap="rnd" w14:cmpd="sng" w14:algn="ctr">
                                  <w14:noFill/>
                                  <w14:prstDash w14:val="solid"/>
                                  <w14:bevel/>
                                </w14:textOutline>
                              </w:rPr>
                              <w:t>IMPLEMENTATION</w:t>
                            </w:r>
                          </w:p>
                          <w:p w14:paraId="7D383359" w14:textId="77777777" w:rsidR="00B67C3B" w:rsidRPr="003B6635" w:rsidRDefault="00B67C3B" w:rsidP="00B67C3B">
                            <w:pPr>
                              <w:pStyle w:val="FigureTitles"/>
                              <w:jc w:val="center"/>
                              <w:rPr>
                                <w:color w:val="000000" w:themeColor="text1"/>
                                <w:sz w:val="16"/>
                                <w:szCs w:val="16"/>
                                <w14:textOutline w14:w="12700" w14:cap="rnd" w14:cmpd="sng" w14:algn="ctr">
                                  <w14:noFill/>
                                  <w14:prstDash w14:val="solid"/>
                                  <w14:bevel/>
                                </w14:textOutline>
                              </w:rPr>
                            </w:pPr>
                          </w:p>
                          <w:p w14:paraId="7016D24B" w14:textId="77777777" w:rsidR="00B67C3B" w:rsidRDefault="00B67C3B" w:rsidP="00B67C3B">
                            <w:pPr>
                              <w:pStyle w:val="FigureTitles"/>
                              <w:rPr>
                                <w:b w:val="0"/>
                                <w:bCs w:val="0"/>
                                <w:color w:val="000000" w:themeColor="text1"/>
                                <w:sz w:val="16"/>
                                <w:szCs w:val="16"/>
                                <w14:textOutline w14:w="12700" w14:cap="rnd" w14:cmpd="sng" w14:algn="ctr">
                                  <w14:noFill/>
                                  <w14:prstDash w14:val="solid"/>
                                  <w14:bevel/>
                                </w14:textOutline>
                              </w:rPr>
                            </w:pPr>
                            <w:r w:rsidRPr="001A5B47">
                              <w:rPr>
                                <w:b w:val="0"/>
                                <w:bCs w:val="0"/>
                                <w:sz w:val="16"/>
                                <w:szCs w:val="16"/>
                              </w:rPr>
                              <w:t>Disaggregated data could be helpful in illuminating the potential presence of systemic issues that may be contributing to these discrepancies</w:t>
                            </w:r>
                            <w:r>
                              <w:rPr>
                                <w:b w:val="0"/>
                                <w:bCs w:val="0"/>
                                <w:sz w:val="16"/>
                                <w:szCs w:val="16"/>
                              </w:rPr>
                              <w:t>.</w:t>
                            </w:r>
                            <w:r w:rsidRPr="003B6635">
                              <w:rPr>
                                <w:b w:val="0"/>
                                <w:bCs w:val="0"/>
                                <w:color w:val="000000" w:themeColor="text1"/>
                                <w:sz w:val="16"/>
                                <w:szCs w:val="16"/>
                                <w14:textOutline w14:w="12700" w14:cap="rnd" w14:cmpd="sng" w14:algn="ctr">
                                  <w14:noFill/>
                                  <w14:prstDash w14:val="solid"/>
                                  <w14:bevel/>
                                </w14:textOutline>
                              </w:rPr>
                              <w:t xml:space="preserve"> </w:t>
                            </w:r>
                            <w:r>
                              <w:rPr>
                                <w:b w:val="0"/>
                                <w:bCs w:val="0"/>
                                <w:color w:val="000000" w:themeColor="text1"/>
                                <w:sz w:val="16"/>
                                <w:szCs w:val="16"/>
                                <w14:textOutline w14:w="12700" w14:cap="rnd" w14:cmpd="sng" w14:algn="ctr">
                                  <w14:noFill/>
                                  <w14:prstDash w14:val="solid"/>
                                  <w14:bevel/>
                                </w14:textOutline>
                              </w:rPr>
                              <w:t>Download</w:t>
                            </w:r>
                            <w:r w:rsidRPr="003B6635">
                              <w:rPr>
                                <w:b w:val="0"/>
                                <w:bCs w:val="0"/>
                                <w:color w:val="000000" w:themeColor="text1"/>
                                <w:sz w:val="16"/>
                                <w:szCs w:val="16"/>
                                <w14:textOutline w14:w="12700" w14:cap="rnd" w14:cmpd="sng" w14:algn="ctr">
                                  <w14:noFill/>
                                  <w14:prstDash w14:val="solid"/>
                                  <w14:bevel/>
                                </w14:textOutline>
                              </w:rPr>
                              <w:t xml:space="preserve"> </w:t>
                            </w:r>
                          </w:p>
                          <w:p w14:paraId="368E75EB" w14:textId="77777777" w:rsidR="00B67C3B" w:rsidRDefault="00B67C3B" w:rsidP="00B67C3B">
                            <w:pPr>
                              <w:pStyle w:val="FigureTitles"/>
                              <w:rPr>
                                <w:b w:val="0"/>
                                <w:bCs w:val="0"/>
                                <w:color w:val="000000" w:themeColor="text1"/>
                                <w:sz w:val="16"/>
                                <w:szCs w:val="16"/>
                                <w14:textOutline w14:w="12700" w14:cap="rnd" w14:cmpd="sng" w14:algn="ctr">
                                  <w14:noFill/>
                                  <w14:prstDash w14:val="solid"/>
                                  <w14:bevel/>
                                </w14:textOutline>
                              </w:rPr>
                            </w:pPr>
                          </w:p>
                          <w:p w14:paraId="124E76CA" w14:textId="77777777" w:rsidR="00B67C3B" w:rsidRDefault="00B67C3B" w:rsidP="00B67C3B">
                            <w:pPr>
                              <w:pStyle w:val="FigureTitles"/>
                              <w:rPr>
                                <w:b w:val="0"/>
                                <w:bCs w:val="0"/>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Brief #5</w:t>
                            </w:r>
                            <w:r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Section </w:t>
                            </w:r>
                            <w:hyperlink r:id="rId9" w:history="1">
                              <w:r w:rsidRPr="00A55B4B">
                                <w:rPr>
                                  <w:rStyle w:val="Hyperlink"/>
                                  <w:sz w:val="16"/>
                                  <w:szCs w:val="16"/>
                                  <w14:textOutline w14:w="12700" w14:cap="rnd" w14:cmpd="sng" w14:algn="ctr">
                                    <w14:noFill/>
                                    <w14:prstDash w14:val="solid"/>
                                    <w14:bevel/>
                                  </w14:textOutline>
                                </w:rPr>
                                <w:t>Equity in Implementation Practice</w:t>
                              </w:r>
                            </w:hyperlink>
                            <w:r w:rsidRPr="003B6635">
                              <w:rPr>
                                <w:b w:val="0"/>
                                <w:bCs w:val="0"/>
                                <w:color w:val="000000" w:themeColor="text1"/>
                                <w:sz w:val="16"/>
                                <w:szCs w:val="16"/>
                                <w14:textOutline w14:w="12700" w14:cap="rnd" w14:cmpd="sng" w14:algn="ctr">
                                  <w14:noFill/>
                                  <w14:prstDash w14:val="solid"/>
                                  <w14:bevel/>
                                </w14:textOutline>
                              </w:rPr>
                              <w:t xml:space="preserve"> </w:t>
                            </w:r>
                            <w:r>
                              <w:rPr>
                                <w:b w:val="0"/>
                                <w:bCs w:val="0"/>
                                <w:color w:val="000000" w:themeColor="text1"/>
                                <w:sz w:val="16"/>
                                <w:szCs w:val="16"/>
                                <w14:textOutline w14:w="12700" w14:cap="rnd" w14:cmpd="sng" w14:algn="ctr">
                                  <w14:noFill/>
                                  <w14:prstDash w14:val="solid"/>
                                  <w14:bevel/>
                                </w14:textOutline>
                              </w:rPr>
                              <w:t xml:space="preserve">(docx) </w:t>
                            </w:r>
                            <w:r w:rsidRPr="003B6635">
                              <w:rPr>
                                <w:b w:val="0"/>
                                <w:bCs w:val="0"/>
                                <w:color w:val="000000" w:themeColor="text1"/>
                                <w:sz w:val="16"/>
                                <w:szCs w:val="16"/>
                                <w14:textOutline w14:w="12700" w14:cap="rnd" w14:cmpd="sng" w14:algn="ctr">
                                  <w14:noFill/>
                                  <w14:prstDash w14:val="solid"/>
                                  <w14:bevel/>
                                </w14:textOutline>
                              </w:rPr>
                              <w:t>for more information on equity in implementation</w:t>
                            </w:r>
                            <w:r>
                              <w:rPr>
                                <w:b w:val="0"/>
                                <w:bCs w:val="0"/>
                                <w:color w:val="000000" w:themeColor="text1"/>
                                <w:sz w:val="16"/>
                                <w:szCs w:val="16"/>
                                <w14:textOutline w14:w="12700" w14:cap="rnd" w14:cmpd="sng" w14:algn="ctr">
                                  <w14:noFill/>
                                  <w14:prstDash w14:val="solid"/>
                                  <w14:bevel/>
                                </w14:textOutline>
                              </w:rPr>
                              <w:t xml:space="preserve"> </w:t>
                            </w:r>
                            <w:r w:rsidRPr="003B6635">
                              <w:rPr>
                                <w:b w:val="0"/>
                                <w:bCs w:val="0"/>
                                <w:color w:val="000000" w:themeColor="text1"/>
                                <w:sz w:val="16"/>
                                <w:szCs w:val="16"/>
                                <w14:textOutline w14:w="12700" w14:cap="rnd" w14:cmpd="sng" w14:algn="ctr">
                                  <w14:noFill/>
                                  <w14:prstDash w14:val="solid"/>
                                  <w14:bevel/>
                                </w14:textOutline>
                              </w:rPr>
                              <w:t>practice</w:t>
                            </w:r>
                          </w:p>
                          <w:p w14:paraId="672FE29F" w14:textId="77777777" w:rsidR="00B67C3B" w:rsidRDefault="00B67C3B" w:rsidP="00B67C3B">
                            <w:pPr>
                              <w:pStyle w:val="FigureTitles"/>
                              <w:rPr>
                                <w:b w:val="0"/>
                                <w:bCs w:val="0"/>
                                <w:color w:val="000000" w:themeColor="text1"/>
                                <w:sz w:val="16"/>
                                <w:szCs w:val="16"/>
                                <w14:textOutline w14:w="12700" w14:cap="rnd" w14:cmpd="sng" w14:algn="ctr">
                                  <w14:noFill/>
                                  <w14:prstDash w14:val="solid"/>
                                  <w14:bevel/>
                                </w14:textOutline>
                              </w:rPr>
                            </w:pPr>
                          </w:p>
                          <w:p w14:paraId="3315D34A" w14:textId="77777777" w:rsidR="00B67C3B" w:rsidRPr="003B6635" w:rsidRDefault="00B67C3B" w:rsidP="00B67C3B">
                            <w:pPr>
                              <w:pStyle w:val="FigureTitles"/>
                              <w:rPr>
                                <w:b w:val="0"/>
                                <w:bCs w:val="0"/>
                                <w:color w:val="000000" w:themeColor="text1"/>
                                <w:sz w:val="16"/>
                                <w:szCs w:val="16"/>
                                <w14:textOutline w14:w="12700" w14:cap="rnd" w14:cmpd="sng" w14:algn="ctr">
                                  <w14:noFill/>
                                  <w14:prstDash w14:val="solid"/>
                                  <w14:bevel/>
                                </w14:textOutline>
                              </w:rPr>
                            </w:pPr>
                            <w:r w:rsidRPr="003B342F">
                              <w:rPr>
                                <w:color w:val="000000" w:themeColor="text1"/>
                                <w:sz w:val="16"/>
                                <w:szCs w:val="16"/>
                                <w14:textOutline w14:w="12700" w14:cap="rnd" w14:cmpd="sng" w14:algn="ctr">
                                  <w14:noFill/>
                                  <w14:prstDash w14:val="solid"/>
                                  <w14:bevel/>
                                </w14:textOutline>
                              </w:rPr>
                              <w:t>Brief #7:</w:t>
                            </w:r>
                            <w:r>
                              <w:rPr>
                                <w:b w:val="0"/>
                                <w:bCs w:val="0"/>
                                <w:color w:val="000000" w:themeColor="text1"/>
                                <w:sz w:val="16"/>
                                <w:szCs w:val="16"/>
                                <w14:textOutline w14:w="12700" w14:cap="rnd" w14:cmpd="sng" w14:algn="ctr">
                                  <w14:noFill/>
                                  <w14:prstDash w14:val="solid"/>
                                  <w14:bevel/>
                                </w14:textOutline>
                              </w:rPr>
                              <w:t xml:space="preserve"> Digging Deeper Into the Implementation Support Practice Model at the Regional Level, Section </w:t>
                            </w:r>
                            <w:hyperlink r:id="rId10" w:history="1">
                              <w:r w:rsidRPr="003B342F">
                                <w:rPr>
                                  <w:rStyle w:val="Hyperlink"/>
                                  <w:b w:val="0"/>
                                  <w:bCs w:val="0"/>
                                  <w:sz w:val="16"/>
                                  <w:szCs w:val="16"/>
                                  <w14:textOutline w14:w="12700" w14:cap="rnd" w14:cmpd="sng" w14:algn="ctr">
                                    <w14:noFill/>
                                    <w14:prstDash w14:val="solid"/>
                                    <w14:bevel/>
                                  </w14:textOutline>
                                </w:rPr>
                                <w:t>Co-designed Support Planning and Processes</w:t>
                              </w:r>
                            </w:hyperlink>
                            <w:r>
                              <w:rPr>
                                <w:b w:val="0"/>
                                <w:bCs w:val="0"/>
                                <w:color w:val="000000" w:themeColor="text1"/>
                                <w:sz w:val="16"/>
                                <w:szCs w:val="16"/>
                                <w14:textOutline w14:w="12700" w14:cap="rnd" w14:cmpd="sng" w14:algn="ctr">
                                  <w14:noFill/>
                                  <w14:prstDash w14:val="solid"/>
                                  <w14:bevel/>
                                </w14:textOutline>
                              </w:rPr>
                              <w:t xml:space="preserve"> (docx) for more information on Disaggregation of Data. </w:t>
                            </w:r>
                          </w:p>
                        </w:txbxContent>
                      </wps:txbx>
                      <wps:bodyPr rot="0" spcFirstLastPara="0" vertOverflow="overflow" horzOverflow="overflow" vert="horz" wrap="square" lIns="91440" tIns="91440" rIns="457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DDED08" id="Rectangle 3" o:spid="_x0000_s1026" style="position:absolute;left:0;text-align:left;margin-left:-25.8pt;margin-top:8.55pt;width:127.1pt;height:423.9pt;z-index:251659264;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539196,3560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NMDwUAADYbAAAOAAAAZHJzL2Uyb0RvYy54bWzsWU1v4zYQvRfofyB0LNDYsvyNOIs0ixQF&#10;gt2gSbHbIyNTsVCJVEkmdvrr+0hJNummFu1mL0UuNiXNm0cOOU/U8PzDpizIM5MqF3wRxWf9iDCe&#10;imXOHxfRb/fXP04jojTlS1oIzhbRC1PRh4vvvztfV3M2ECtRLJkkcMLVfF0topXW1bzXU+mKlVSd&#10;iYpxPMyELKnGpXzsLSVdw3tZ9Ab9/ri3FnJZSZEypXD3Y/0wurD+s4yl+nOWKaZJsYjQN21/pf19&#10;ML+9i3M6f5S0WuVp0w16Qi9KmnOQbl19pJqSJ5n/w1WZp1IokemzVJQ9kWV5yuwYMJq4vzeauxWt&#10;mB0LgqOqbZjU27lNPz3fVbcSYVhXaq7QNKPYZLI0/+gf2dhgvWyDxTaapLgZj+NhPEFMUzwbJdNk&#10;lNhw9nbw9Enpn5mwrujzjdJ1tJdo2VgtCaclFkUqOFe5Zl/hLSsLTMAPPdInaxJPRtMkHjWztG/+&#10;u2++Islo3B8O/838a+x4j+PhYNQP4HBBfdLJMTiFwwNNpv3BIOlmSlymJJ5OknF3xDxQKNPwFCYP&#10;FMo0cpnque8ekw8KjN7YZQqNngcKHdPkFCYPFMoEqd1mT/D69kChTLNTmFxQk6ndqzz2c7xTEjz7&#10;cBY/y7tZfPtOVThyEL55p3e3M8Hz7oLedY3EoRrwrmvNu9qTqNC3qQcKVRtPokKZXFCwDrgSFbA3&#10;cM2DOTyFCiDZs+9UA188OqXMN+/07srGu9Zggxq43/Bk4/+oNaF5+d/3UKFMrtYEZ6crGwHJ6ZoH&#10;c7iyEcDhm3dmqJ/QyP9RMotn42/7DXWYwxWN0/cahzne8hvqMNNbfkMdZvJEI1RpvM+h2r/5hjrM&#10;5IEm0+EwmXTvzb1U3mXlYSYPFDomN5Wdt85hJhcUnJtuQtvcPMzhmgdz+AndOTe+uZf/qLU8ttUU&#10;umoLLOmGNxUWtAg1lbi+LU5VQplyjltuQe2mvUQ5BfUZuATKlGc6wEhqFxwfBUa2uuDBUWAkoAtO&#10;jgIjp1zw8Cgw0sQF20pTcMCw8l2wVeRgMBazC54c1W2sUhc8PQqM5eeCZy647n6z2CSKrabMWtgy&#10;q44IyqwyIiizPhgMnVdUmzXaNskaRcQmvchqETX5Y1dqKZ7ZvbCWeq8CCc7d04K7Vo002A63i7m1&#10;aP8r68+1bPZwzbhau/a/sa+3bNbzN7Fv44BQw7/R38P9qeU2vD+OfRvnOtnbcbb/9XixiUBPwi33&#10;o50WQrGawMy6lZXt9JtV41SGubjOi8KukMIKjxJFvjT3zPwr+fhwVUjyTLG0ZtfJbPxTExnHDB4N&#10;tLerYduWfimY8VHwX1lG8iW0b2CXlz1eYFu3NE0Z160IWWsDy9CFLTB+DVjoVvYaWwNj9thhC6yl&#10;9yDjFmFZBddbcJlzIV9jXv6xZa7t29HXYzbD15uHDaJqmg9i+XIriRT1+Yeq0utcKn1Dlb6lEvV2&#10;zDcOcfRn/GSFQGIi/2wrIish/3rtvrHHOQSeRmSNA5RFpP58opJFpPiF44RiFg+HcKvdC2kvhqMJ&#10;jm6gDPYKDf5UXglML14p6Jpt4q7URdvMpCi/4KDn0lDiEeUpiBcRRKZuXmlc4QEOilJ2eWnbOGDB&#10;krvhd1VqXJvYVhj0/eYLlRUxTTjAacYn0Z6z0Hl7SoEFtbM1SC4un7TIcnOEYZdZHdLmAoczaHmn&#10;P+61tdodd138DQAA//8DAFBLAwQUAAYACAAAACEAoHbaeN8AAAAKAQAADwAAAGRycy9kb3ducmV2&#10;LnhtbEyPwU7DMAyG70i8Q2QkblvaqpStNJ0AiaEhLgwu3LLGtBWNEzXZWnh6zAmO9v/p9+dqM9tB&#10;nHAMvSMF6TIBgdQ401Or4O31YbECEaImowdHqOALA2zq87NKl8ZN9IKnfWwFl1AotYIuRl9KGZoO&#10;rQ5L55E4+3Cj1ZHHsZVm1BOX20FmSVJIq3viC532eN9h87k/WgVu+7Sjnp6n9aPzu7vv/H2bz16p&#10;y4v59gZExDn+wfCrz+pQs9PBHckEMShYXKUFoxxcpyAYyJKMFwcFqyJfg6wr+f+F+gcAAP//AwBQ&#10;SwECLQAUAAYACAAAACEAtoM4kv4AAADhAQAAEwAAAAAAAAAAAAAAAAAAAAAAW0NvbnRlbnRfVHlw&#10;ZXNdLnhtbFBLAQItABQABgAIAAAAIQA4/SH/1gAAAJQBAAALAAAAAAAAAAAAAAAAAC8BAABfcmVs&#10;cy8ucmVsc1BLAQItABQABgAIAAAAIQCic2NMDwUAADYbAAAOAAAAAAAAAAAAAAAAAC4CAABkcnMv&#10;ZTJvRG9jLnhtbFBLAQItABQABgAIAAAAIQCgdtp43wAAAAoBAAAPAAAAAAAAAAAAAAAAAGkHAABk&#10;cnMvZG93bnJldi54bWxQSwUGAAAAAAQABADzAAAAdQgAAAAA&#10;" o:allowoverlap="f" adj="-11796480,,5400" path="m,l1142500,r,1780223l1318736,1780223r,l1539196,1784437r-396696,-4214l1142500,3560445,,3560445,,xe" filled="f" strokecolor="#9f396b" strokeweight="1pt">
                <v:stroke joinstyle="miter"/>
                <v:formulas/>
                <v:path arrowok="t" o:connecttype="custom" o:connectlocs="0,0;1198151,0;1198151,2691766;1382971,2691766;1382971,2691766;1614170,2698137;1198151,2691766;1198151,5383530;0,5383530;0,0" o:connectangles="0,0,0,0,0,0,0,0,0,0" textboxrect="0,0,1539196,3560445"/>
                <v:textbox inset=",7.2pt,36pt,0">
                  <w:txbxContent>
                    <w:p w14:paraId="632E2B18" w14:textId="77777777" w:rsidR="00B67C3B" w:rsidRDefault="00B67C3B" w:rsidP="00B67C3B">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 xml:space="preserve">EQUITY IN </w:t>
                      </w:r>
                      <w:r>
                        <w:rPr>
                          <w:color w:val="000000" w:themeColor="text1"/>
                          <w:sz w:val="16"/>
                          <w:szCs w:val="16"/>
                          <w14:textOutline w14:w="12700" w14:cap="rnd" w14:cmpd="sng" w14:algn="ctr">
                            <w14:noFill/>
                            <w14:prstDash w14:val="solid"/>
                            <w14:bevel/>
                          </w14:textOutline>
                        </w:rPr>
                        <w:t>IMPLEMENTATION</w:t>
                      </w:r>
                    </w:p>
                    <w:p w14:paraId="7D383359" w14:textId="77777777" w:rsidR="00B67C3B" w:rsidRPr="003B6635" w:rsidRDefault="00B67C3B" w:rsidP="00B67C3B">
                      <w:pPr>
                        <w:pStyle w:val="FigureTitles"/>
                        <w:jc w:val="center"/>
                        <w:rPr>
                          <w:color w:val="000000" w:themeColor="text1"/>
                          <w:sz w:val="16"/>
                          <w:szCs w:val="16"/>
                          <w14:textOutline w14:w="12700" w14:cap="rnd" w14:cmpd="sng" w14:algn="ctr">
                            <w14:noFill/>
                            <w14:prstDash w14:val="solid"/>
                            <w14:bevel/>
                          </w14:textOutline>
                        </w:rPr>
                      </w:pPr>
                    </w:p>
                    <w:p w14:paraId="7016D24B" w14:textId="77777777" w:rsidR="00B67C3B" w:rsidRDefault="00B67C3B" w:rsidP="00B67C3B">
                      <w:pPr>
                        <w:pStyle w:val="FigureTitles"/>
                        <w:rPr>
                          <w:b w:val="0"/>
                          <w:bCs w:val="0"/>
                          <w:color w:val="000000" w:themeColor="text1"/>
                          <w:sz w:val="16"/>
                          <w:szCs w:val="16"/>
                          <w14:textOutline w14:w="12700" w14:cap="rnd" w14:cmpd="sng" w14:algn="ctr">
                            <w14:noFill/>
                            <w14:prstDash w14:val="solid"/>
                            <w14:bevel/>
                          </w14:textOutline>
                        </w:rPr>
                      </w:pPr>
                      <w:r w:rsidRPr="001A5B47">
                        <w:rPr>
                          <w:b w:val="0"/>
                          <w:bCs w:val="0"/>
                          <w:sz w:val="16"/>
                          <w:szCs w:val="16"/>
                        </w:rPr>
                        <w:t>Disaggregated data could be helpful in illuminating the potential presence of systemic issues that may be contributing to these discrepancies</w:t>
                      </w:r>
                      <w:r>
                        <w:rPr>
                          <w:b w:val="0"/>
                          <w:bCs w:val="0"/>
                          <w:sz w:val="16"/>
                          <w:szCs w:val="16"/>
                        </w:rPr>
                        <w:t>.</w:t>
                      </w:r>
                      <w:r w:rsidRPr="003B6635">
                        <w:rPr>
                          <w:b w:val="0"/>
                          <w:bCs w:val="0"/>
                          <w:color w:val="000000" w:themeColor="text1"/>
                          <w:sz w:val="16"/>
                          <w:szCs w:val="16"/>
                          <w14:textOutline w14:w="12700" w14:cap="rnd" w14:cmpd="sng" w14:algn="ctr">
                            <w14:noFill/>
                            <w14:prstDash w14:val="solid"/>
                            <w14:bevel/>
                          </w14:textOutline>
                        </w:rPr>
                        <w:t xml:space="preserve"> </w:t>
                      </w:r>
                      <w:r>
                        <w:rPr>
                          <w:b w:val="0"/>
                          <w:bCs w:val="0"/>
                          <w:color w:val="000000" w:themeColor="text1"/>
                          <w:sz w:val="16"/>
                          <w:szCs w:val="16"/>
                          <w14:textOutline w14:w="12700" w14:cap="rnd" w14:cmpd="sng" w14:algn="ctr">
                            <w14:noFill/>
                            <w14:prstDash w14:val="solid"/>
                            <w14:bevel/>
                          </w14:textOutline>
                        </w:rPr>
                        <w:t>Download</w:t>
                      </w:r>
                      <w:r w:rsidRPr="003B6635">
                        <w:rPr>
                          <w:b w:val="0"/>
                          <w:bCs w:val="0"/>
                          <w:color w:val="000000" w:themeColor="text1"/>
                          <w:sz w:val="16"/>
                          <w:szCs w:val="16"/>
                          <w14:textOutline w14:w="12700" w14:cap="rnd" w14:cmpd="sng" w14:algn="ctr">
                            <w14:noFill/>
                            <w14:prstDash w14:val="solid"/>
                            <w14:bevel/>
                          </w14:textOutline>
                        </w:rPr>
                        <w:t xml:space="preserve"> </w:t>
                      </w:r>
                    </w:p>
                    <w:p w14:paraId="368E75EB" w14:textId="77777777" w:rsidR="00B67C3B" w:rsidRDefault="00B67C3B" w:rsidP="00B67C3B">
                      <w:pPr>
                        <w:pStyle w:val="FigureTitles"/>
                        <w:rPr>
                          <w:b w:val="0"/>
                          <w:bCs w:val="0"/>
                          <w:color w:val="000000" w:themeColor="text1"/>
                          <w:sz w:val="16"/>
                          <w:szCs w:val="16"/>
                          <w14:textOutline w14:w="12700" w14:cap="rnd" w14:cmpd="sng" w14:algn="ctr">
                            <w14:noFill/>
                            <w14:prstDash w14:val="solid"/>
                            <w14:bevel/>
                          </w14:textOutline>
                        </w:rPr>
                      </w:pPr>
                    </w:p>
                    <w:p w14:paraId="124E76CA" w14:textId="77777777" w:rsidR="00B67C3B" w:rsidRDefault="00B67C3B" w:rsidP="00B67C3B">
                      <w:pPr>
                        <w:pStyle w:val="FigureTitles"/>
                        <w:rPr>
                          <w:b w:val="0"/>
                          <w:bCs w:val="0"/>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Brief #5</w:t>
                      </w:r>
                      <w:r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Section </w:t>
                      </w:r>
                      <w:hyperlink r:id="rId11" w:history="1">
                        <w:r w:rsidRPr="00A55B4B">
                          <w:rPr>
                            <w:rStyle w:val="Hyperlink"/>
                            <w:sz w:val="16"/>
                            <w:szCs w:val="16"/>
                            <w14:textOutline w14:w="12700" w14:cap="rnd" w14:cmpd="sng" w14:algn="ctr">
                              <w14:noFill/>
                              <w14:prstDash w14:val="solid"/>
                              <w14:bevel/>
                            </w14:textOutline>
                          </w:rPr>
                          <w:t>Equity in Implementation Practice</w:t>
                        </w:r>
                      </w:hyperlink>
                      <w:r w:rsidRPr="003B6635">
                        <w:rPr>
                          <w:b w:val="0"/>
                          <w:bCs w:val="0"/>
                          <w:color w:val="000000" w:themeColor="text1"/>
                          <w:sz w:val="16"/>
                          <w:szCs w:val="16"/>
                          <w14:textOutline w14:w="12700" w14:cap="rnd" w14:cmpd="sng" w14:algn="ctr">
                            <w14:noFill/>
                            <w14:prstDash w14:val="solid"/>
                            <w14:bevel/>
                          </w14:textOutline>
                        </w:rPr>
                        <w:t xml:space="preserve"> </w:t>
                      </w:r>
                      <w:r>
                        <w:rPr>
                          <w:b w:val="0"/>
                          <w:bCs w:val="0"/>
                          <w:color w:val="000000" w:themeColor="text1"/>
                          <w:sz w:val="16"/>
                          <w:szCs w:val="16"/>
                          <w14:textOutline w14:w="12700" w14:cap="rnd" w14:cmpd="sng" w14:algn="ctr">
                            <w14:noFill/>
                            <w14:prstDash w14:val="solid"/>
                            <w14:bevel/>
                          </w14:textOutline>
                        </w:rPr>
                        <w:t xml:space="preserve">(docx) </w:t>
                      </w:r>
                      <w:r w:rsidRPr="003B6635">
                        <w:rPr>
                          <w:b w:val="0"/>
                          <w:bCs w:val="0"/>
                          <w:color w:val="000000" w:themeColor="text1"/>
                          <w:sz w:val="16"/>
                          <w:szCs w:val="16"/>
                          <w14:textOutline w14:w="12700" w14:cap="rnd" w14:cmpd="sng" w14:algn="ctr">
                            <w14:noFill/>
                            <w14:prstDash w14:val="solid"/>
                            <w14:bevel/>
                          </w14:textOutline>
                        </w:rPr>
                        <w:t>for more information on equity in implementation</w:t>
                      </w:r>
                      <w:r>
                        <w:rPr>
                          <w:b w:val="0"/>
                          <w:bCs w:val="0"/>
                          <w:color w:val="000000" w:themeColor="text1"/>
                          <w:sz w:val="16"/>
                          <w:szCs w:val="16"/>
                          <w14:textOutline w14:w="12700" w14:cap="rnd" w14:cmpd="sng" w14:algn="ctr">
                            <w14:noFill/>
                            <w14:prstDash w14:val="solid"/>
                            <w14:bevel/>
                          </w14:textOutline>
                        </w:rPr>
                        <w:t xml:space="preserve"> </w:t>
                      </w:r>
                      <w:r w:rsidRPr="003B6635">
                        <w:rPr>
                          <w:b w:val="0"/>
                          <w:bCs w:val="0"/>
                          <w:color w:val="000000" w:themeColor="text1"/>
                          <w:sz w:val="16"/>
                          <w:szCs w:val="16"/>
                          <w14:textOutline w14:w="12700" w14:cap="rnd" w14:cmpd="sng" w14:algn="ctr">
                            <w14:noFill/>
                            <w14:prstDash w14:val="solid"/>
                            <w14:bevel/>
                          </w14:textOutline>
                        </w:rPr>
                        <w:t>practice</w:t>
                      </w:r>
                    </w:p>
                    <w:p w14:paraId="672FE29F" w14:textId="77777777" w:rsidR="00B67C3B" w:rsidRDefault="00B67C3B" w:rsidP="00B67C3B">
                      <w:pPr>
                        <w:pStyle w:val="FigureTitles"/>
                        <w:rPr>
                          <w:b w:val="0"/>
                          <w:bCs w:val="0"/>
                          <w:color w:val="000000" w:themeColor="text1"/>
                          <w:sz w:val="16"/>
                          <w:szCs w:val="16"/>
                          <w14:textOutline w14:w="12700" w14:cap="rnd" w14:cmpd="sng" w14:algn="ctr">
                            <w14:noFill/>
                            <w14:prstDash w14:val="solid"/>
                            <w14:bevel/>
                          </w14:textOutline>
                        </w:rPr>
                      </w:pPr>
                    </w:p>
                    <w:p w14:paraId="3315D34A" w14:textId="77777777" w:rsidR="00B67C3B" w:rsidRPr="003B6635" w:rsidRDefault="00B67C3B" w:rsidP="00B67C3B">
                      <w:pPr>
                        <w:pStyle w:val="FigureTitles"/>
                        <w:rPr>
                          <w:b w:val="0"/>
                          <w:bCs w:val="0"/>
                          <w:color w:val="000000" w:themeColor="text1"/>
                          <w:sz w:val="16"/>
                          <w:szCs w:val="16"/>
                          <w14:textOutline w14:w="12700" w14:cap="rnd" w14:cmpd="sng" w14:algn="ctr">
                            <w14:noFill/>
                            <w14:prstDash w14:val="solid"/>
                            <w14:bevel/>
                          </w14:textOutline>
                        </w:rPr>
                      </w:pPr>
                      <w:r w:rsidRPr="003B342F">
                        <w:rPr>
                          <w:color w:val="000000" w:themeColor="text1"/>
                          <w:sz w:val="16"/>
                          <w:szCs w:val="16"/>
                          <w14:textOutline w14:w="12700" w14:cap="rnd" w14:cmpd="sng" w14:algn="ctr">
                            <w14:noFill/>
                            <w14:prstDash w14:val="solid"/>
                            <w14:bevel/>
                          </w14:textOutline>
                        </w:rPr>
                        <w:t>Brief #7:</w:t>
                      </w:r>
                      <w:r>
                        <w:rPr>
                          <w:b w:val="0"/>
                          <w:bCs w:val="0"/>
                          <w:color w:val="000000" w:themeColor="text1"/>
                          <w:sz w:val="16"/>
                          <w:szCs w:val="16"/>
                          <w14:textOutline w14:w="12700" w14:cap="rnd" w14:cmpd="sng" w14:algn="ctr">
                            <w14:noFill/>
                            <w14:prstDash w14:val="solid"/>
                            <w14:bevel/>
                          </w14:textOutline>
                        </w:rPr>
                        <w:t xml:space="preserve"> Digging Deeper Into the Implementation Support Practice Model at the Regional Level, Section </w:t>
                      </w:r>
                      <w:hyperlink r:id="rId12" w:history="1">
                        <w:r w:rsidRPr="003B342F">
                          <w:rPr>
                            <w:rStyle w:val="Hyperlink"/>
                            <w:b w:val="0"/>
                            <w:bCs w:val="0"/>
                            <w:sz w:val="16"/>
                            <w:szCs w:val="16"/>
                            <w14:textOutline w14:w="12700" w14:cap="rnd" w14:cmpd="sng" w14:algn="ctr">
                              <w14:noFill/>
                              <w14:prstDash w14:val="solid"/>
                              <w14:bevel/>
                            </w14:textOutline>
                          </w:rPr>
                          <w:t>Co-designed Support Planning and Processes</w:t>
                        </w:r>
                      </w:hyperlink>
                      <w:r>
                        <w:rPr>
                          <w:b w:val="0"/>
                          <w:bCs w:val="0"/>
                          <w:color w:val="000000" w:themeColor="text1"/>
                          <w:sz w:val="16"/>
                          <w:szCs w:val="16"/>
                          <w14:textOutline w14:w="12700" w14:cap="rnd" w14:cmpd="sng" w14:algn="ctr">
                            <w14:noFill/>
                            <w14:prstDash w14:val="solid"/>
                            <w14:bevel/>
                          </w14:textOutline>
                        </w:rPr>
                        <w:t xml:space="preserve"> (docx) for more information on Disaggregation of Data. </w:t>
                      </w:r>
                    </w:p>
                  </w:txbxContent>
                </v:textbox>
                <w10:wrap type="through" side="right"/>
              </v:shape>
            </w:pict>
          </mc:Fallback>
        </mc:AlternateContent>
      </w:r>
      <w:r w:rsidRPr="001E6B70">
        <w:rPr>
          <w:i/>
        </w:rPr>
        <w:t>Quality</w:t>
      </w:r>
      <w:r w:rsidRPr="001E6B70">
        <w:t xml:space="preserve"> of program delivery is the </w:t>
      </w:r>
      <w:proofErr w:type="gramStart"/>
      <w:r w:rsidRPr="001E6B70">
        <w:t>manner in which</w:t>
      </w:r>
      <w:proofErr w:type="gramEnd"/>
      <w:r w:rsidRPr="001E6B70">
        <w:t xml:space="preserve"> a practitioner delivers Triple P (e.g., skill in using the techniques, methods, and core components prescribed by Triple P</w:t>
      </w:r>
      <w:r>
        <w:t>;</w:t>
      </w:r>
      <w:r w:rsidRPr="001E6B70">
        <w:t xml:space="preserve"> enthusiasm</w:t>
      </w:r>
      <w:r>
        <w:t>;</w:t>
      </w:r>
      <w:r w:rsidRPr="001E6B70">
        <w:t xml:space="preserve"> preparedness</w:t>
      </w:r>
      <w:r>
        <w:t>;</w:t>
      </w:r>
      <w:r w:rsidRPr="001E6B70">
        <w:t xml:space="preserve"> and attitude).</w:t>
      </w:r>
    </w:p>
    <w:p w14:paraId="1B1B1C06" w14:textId="77777777" w:rsidR="00B67C3B" w:rsidRPr="001E6B70" w:rsidRDefault="00B67C3B" w:rsidP="00B67C3B">
      <w:pPr>
        <w:pStyle w:val="ListBullet"/>
        <w:numPr>
          <w:ilvl w:val="0"/>
          <w:numId w:val="77"/>
        </w:numPr>
        <w:ind w:left="2790"/>
      </w:pPr>
      <w:r w:rsidRPr="001E6B70">
        <w:rPr>
          <w:i/>
        </w:rPr>
        <w:t>Caregiver engagement</w:t>
      </w:r>
      <w:r w:rsidRPr="001E6B70">
        <w:t xml:space="preserve"> is the extent to which participants are engaged by and involved in the activities and content of Triple P (e.g., role plays, homework).</w:t>
      </w:r>
    </w:p>
    <w:p w14:paraId="7A0EDC35" w14:textId="77777777" w:rsidR="00B67C3B" w:rsidRPr="001E6B70" w:rsidRDefault="00B67C3B" w:rsidP="00B67C3B">
      <w:pPr>
        <w:pStyle w:val="ListBullet"/>
        <w:numPr>
          <w:ilvl w:val="0"/>
          <w:numId w:val="77"/>
        </w:numPr>
        <w:ind w:left="2790"/>
      </w:pPr>
      <w:r w:rsidRPr="001E6B70">
        <w:rPr>
          <w:i/>
        </w:rPr>
        <w:t>Dosage</w:t>
      </w:r>
      <w:r w:rsidRPr="001E6B70">
        <w:t xml:space="preserve"> may include any of the following: the number of Triple P sessions delivered, the length of each session, or the frequency with which Triple P program techniques were implemented.</w:t>
      </w:r>
    </w:p>
    <w:p w14:paraId="2722C8C7" w14:textId="77777777" w:rsidR="00B67C3B" w:rsidRPr="001E6B70" w:rsidRDefault="00B67C3B" w:rsidP="00B67C3B">
      <w:pPr>
        <w:pStyle w:val="ListBullet"/>
      </w:pPr>
      <w:r w:rsidRPr="001E6B70">
        <w:rPr>
          <w:b/>
        </w:rPr>
        <w:t xml:space="preserve">Acceptability. </w:t>
      </w:r>
      <w:r w:rsidRPr="001E6B70">
        <w:t xml:space="preserve">Adapting Proctor and colleagues’ definition for the ICTP projects, </w:t>
      </w:r>
      <w:r w:rsidRPr="001E6B70">
        <w:rPr>
          <w:i/>
        </w:rPr>
        <w:t xml:space="preserve">acceptability </w:t>
      </w:r>
      <w:r w:rsidRPr="001E6B70">
        <w:t>is the perception among implementation partners, including families, that Triple P is agreeable, palatable, or satisfactory as delivered.</w:t>
      </w:r>
    </w:p>
    <w:p w14:paraId="7C7D46F1" w14:textId="77777777" w:rsidR="00B67C3B" w:rsidRPr="001E6B70" w:rsidRDefault="00B67C3B" w:rsidP="00B67C3B">
      <w:pPr>
        <w:pStyle w:val="ListBullet"/>
      </w:pPr>
      <w:r w:rsidRPr="001E6B70">
        <w:rPr>
          <w:b/>
        </w:rPr>
        <w:t xml:space="preserve">Reach. </w:t>
      </w:r>
      <w:r w:rsidRPr="001E6B70">
        <w:t xml:space="preserve">Proctor and colleagues use a synonymous term, </w:t>
      </w:r>
      <w:r w:rsidRPr="001E6B70">
        <w:rPr>
          <w:i/>
        </w:rPr>
        <w:t>penetration</w:t>
      </w:r>
      <w:r w:rsidRPr="001E6B70">
        <w:t xml:space="preserve">, which we define as the integration of Triple P within a service setting and its subsystems. </w:t>
      </w:r>
      <w:r w:rsidRPr="001E6B70">
        <w:rPr>
          <w:i/>
        </w:rPr>
        <w:t>Reach</w:t>
      </w:r>
      <w:r w:rsidRPr="001E6B70">
        <w:t xml:space="preserve"> might be measured by (a) the number of people who receive Triple P in a community or population, or (b) the number of practitioners actively delivering Triple P compared to the number trained in or expected to deliver Triple P. Triple P Implementation Evaluation (TPIE) results and experience from Triple P stakeholders in </w:t>
      </w:r>
      <w:r>
        <w:t>North Carolina</w:t>
      </w:r>
      <w:r w:rsidRPr="001E6B70">
        <w:t xml:space="preserve"> suggest that a significant discrepancy has existed between the number of  practitioners trained in Triple P and those who remain actively delivering Triple P interventions to community families.</w:t>
      </w:r>
    </w:p>
    <w:p w14:paraId="6D1784C8" w14:textId="77777777" w:rsidR="00B67C3B" w:rsidRPr="001E6B70" w:rsidRDefault="00B67C3B" w:rsidP="00B67C3B">
      <w:pPr>
        <w:pStyle w:val="ListBullet"/>
      </w:pPr>
      <w:r w:rsidRPr="001E6B70">
        <w:rPr>
          <w:b/>
        </w:rPr>
        <w:t xml:space="preserve">Cost. </w:t>
      </w:r>
      <w:r w:rsidRPr="001E6B70">
        <w:t xml:space="preserve">Adapting Proctor and colleagues’ definition for the ICTP projects, </w:t>
      </w:r>
      <w:r w:rsidRPr="001E6B70">
        <w:rPr>
          <w:i/>
        </w:rPr>
        <w:t xml:space="preserve">cost </w:t>
      </w:r>
      <w:r w:rsidRPr="001E6B70">
        <w:t>is</w:t>
      </w:r>
      <w:r w:rsidRPr="001E6B70">
        <w:rPr>
          <w:i/>
        </w:rPr>
        <w:t xml:space="preserve"> </w:t>
      </w:r>
      <w:r w:rsidRPr="001E6B70">
        <w:t xml:space="preserve">related to the financial impact of a Triple P implementation effort. Proctor and colleagues note three cost components that may be of interest: </w:t>
      </w:r>
    </w:p>
    <w:p w14:paraId="3A4DE8F7" w14:textId="77777777" w:rsidR="00B67C3B" w:rsidRPr="001E6B70" w:rsidRDefault="00B67C3B" w:rsidP="00B67C3B">
      <w:pPr>
        <w:pStyle w:val="ListBullet"/>
      </w:pPr>
      <w:r w:rsidRPr="001E6B70">
        <w:rPr>
          <w:i/>
        </w:rPr>
        <w:t>costs of delivering Triple P</w:t>
      </w:r>
      <w:r w:rsidRPr="001E6B70">
        <w:t xml:space="preserve">, </w:t>
      </w:r>
    </w:p>
    <w:p w14:paraId="59EF0C64" w14:textId="77777777" w:rsidR="00B67C3B" w:rsidRPr="001E6B70" w:rsidRDefault="00B67C3B" w:rsidP="00B67C3B">
      <w:pPr>
        <w:pStyle w:val="ListBullet"/>
      </w:pPr>
      <w:r w:rsidRPr="001E6B70">
        <w:rPr>
          <w:i/>
        </w:rPr>
        <w:t>costs of the implementation strategies</w:t>
      </w:r>
      <w:r w:rsidRPr="001E6B70">
        <w:t xml:space="preserve"> that will be used to support Triple P, and </w:t>
      </w:r>
    </w:p>
    <w:p w14:paraId="42BB4F2A" w14:textId="77777777" w:rsidR="00B67C3B" w:rsidRPr="001E6B70" w:rsidRDefault="00B67C3B" w:rsidP="00B67C3B">
      <w:pPr>
        <w:pStyle w:val="ListBullet"/>
      </w:pPr>
      <w:r w:rsidRPr="001E6B70">
        <w:rPr>
          <w:i/>
        </w:rPr>
        <w:t>cost variability</w:t>
      </w:r>
      <w:r w:rsidRPr="001E6B70">
        <w:t xml:space="preserve"> associated with the local service delivery setting. </w:t>
      </w:r>
    </w:p>
    <w:p w14:paraId="26D8DB3F" w14:textId="77777777" w:rsidR="00B67C3B" w:rsidRPr="001E6B70" w:rsidRDefault="00B67C3B" w:rsidP="00B67C3B">
      <w:pPr>
        <w:pStyle w:val="ListBullet"/>
      </w:pPr>
      <w:r w:rsidRPr="001E6B70">
        <w:t xml:space="preserve">An additional variable related to cost, </w:t>
      </w:r>
      <w:r w:rsidRPr="001E6B70">
        <w:rPr>
          <w:i/>
          <w:iCs/>
        </w:rPr>
        <w:t>benefit-cost</w:t>
      </w:r>
      <w:r w:rsidRPr="001E6B70">
        <w:t xml:space="preserve">, has received increasing interest and attention relative to the implementation and scale-up of evidence-based practices </w:t>
      </w:r>
      <w:r w:rsidRPr="001E6B70">
        <w:fldChar w:fldCharType="begin"/>
      </w:r>
      <w:r w:rsidRPr="001E6B70">
        <w:instrText xml:space="preserve"> ADDIN EN.CITE &lt;EndNote&gt;&lt;Cite&gt;&lt;Author&gt;National Academies of Sciences&lt;/Author&gt;&lt;Year&gt;2016&lt;/Year&gt;&lt;RecNum&gt;3304&lt;/RecNum&gt;&lt;DisplayText&gt;[92]&lt;/DisplayText&gt;&lt;record&gt;&lt;rec-number&gt;3304&lt;/rec-number&gt;&lt;foreign-keys&gt;&lt;key app="EN" db-id="92tw0sxaredrdoeva2ovde9md0ept0ezp55z" timestamp="0"&gt;3304&lt;/key&gt;&lt;/foreign-keys&gt;&lt;ref-type name="Report"&gt;27&lt;/ref-type&gt;&lt;contributors&gt;&lt;authors&gt;&lt;author&gt;National Academies of Sciences,&lt;/author&gt;&lt;author&gt;Engineering, &lt;/author&gt;&lt;author&gt;and Medicine,&lt;/author&gt;&lt;/authors&gt;&lt;/contributors&gt;&lt;titles&gt;&lt;title&gt;Advancing the power of economic evidence to inform investments in children, youth, and families&lt;/title&gt;&lt;/titles&gt;&lt;dates&gt;&lt;year&gt;2016&lt;/year&gt;&lt;/dates&gt;&lt;publisher&gt;Washington, DC: The National Academies Press. doi: 10.17226/23481&lt;/publisher&gt;&lt;urls&gt;&lt;/urls&gt;&lt;/record&gt;&lt;/Cite&gt;&lt;/EndNote&gt;</w:instrText>
      </w:r>
      <w:r w:rsidRPr="001E6B70">
        <w:fldChar w:fldCharType="separate"/>
      </w:r>
      <w:r w:rsidRPr="001E6B70">
        <w:rPr>
          <w:noProof/>
        </w:rPr>
        <w:t>[9</w:t>
      </w:r>
      <w:r>
        <w:rPr>
          <w:noProof/>
        </w:rPr>
        <w:t>1</w:t>
      </w:r>
      <w:r w:rsidRPr="001E6B70">
        <w:rPr>
          <w:noProof/>
        </w:rPr>
        <w:t>]</w:t>
      </w:r>
      <w:r w:rsidRPr="001E6B70">
        <w:fldChar w:fldCharType="end"/>
      </w:r>
      <w:r w:rsidRPr="001E6B70">
        <w:t xml:space="preserve">. In the context of implementation, this variable typically represents the ratio of realized </w:t>
      </w:r>
      <w:r w:rsidRPr="001E6B70">
        <w:rPr>
          <w:i/>
          <w:iCs/>
        </w:rPr>
        <w:t>participant or societal financial benefits</w:t>
      </w:r>
      <w:r w:rsidRPr="001E6B70">
        <w:t xml:space="preserve"> (e.g., increased earnings and productivity) and/or </w:t>
      </w:r>
      <w:r w:rsidRPr="001E6B70">
        <w:rPr>
          <w:i/>
          <w:iCs/>
        </w:rPr>
        <w:t xml:space="preserve">cross-system financial savings </w:t>
      </w:r>
      <w:r w:rsidRPr="001E6B70">
        <w:t>(e.g., decreased taxpayer expenditures in health, criminal justice, child welfare, or other systems) in comparison to the costs associated with program implementation at some scale [9</w:t>
      </w:r>
      <w:r>
        <w:t>2</w:t>
      </w:r>
      <w:r w:rsidRPr="001E6B70">
        <w:t xml:space="preserve">]; for more information, visit </w:t>
      </w:r>
      <w:hyperlink r:id="rId13" w:history="1">
        <w:r w:rsidRPr="008E2078">
          <w:rPr>
            <w:rStyle w:val="Hyperlink"/>
            <w:rFonts w:eastAsiaTheme="majorEastAsia"/>
          </w:rPr>
          <w:t>https://www.wsipp.wa.gov/BenefitCost</w:t>
        </w:r>
      </w:hyperlink>
      <w:r w:rsidRPr="008E2078">
        <w:rPr>
          <w:rStyle w:val="Hyperlink"/>
        </w:rPr>
        <w:t>.</w:t>
      </w:r>
      <w:r w:rsidRPr="001E6B70">
        <w:t xml:space="preserve"> </w:t>
      </w:r>
    </w:p>
    <w:p w14:paraId="685FC352" w14:textId="77777777" w:rsidR="00B67C3B" w:rsidRPr="001E6B70" w:rsidRDefault="00B67C3B" w:rsidP="00B67C3B">
      <w:pPr>
        <w:pStyle w:val="ListBullet"/>
      </w:pPr>
      <w:r w:rsidRPr="001E6B70">
        <w:rPr>
          <w:b/>
        </w:rPr>
        <w:lastRenderedPageBreak/>
        <w:t xml:space="preserve">Sustainability. </w:t>
      </w:r>
      <w:r w:rsidRPr="001E6B70">
        <w:t xml:space="preserve">Adapting Proctor and colleagues’ definition for the ICTP projects, </w:t>
      </w:r>
      <w:r w:rsidRPr="001E6B70">
        <w:rPr>
          <w:i/>
        </w:rPr>
        <w:t xml:space="preserve">sustainability </w:t>
      </w:r>
      <w:r w:rsidRPr="001E6B70">
        <w:t>is the extent to which Triple P is maintained or institutionalized within a region</w:t>
      </w:r>
      <w:r>
        <w:t>’s</w:t>
      </w:r>
      <w:r w:rsidRPr="001E6B70">
        <w:t xml:space="preserve">, </w:t>
      </w:r>
      <w:proofErr w:type="gramStart"/>
      <w:r w:rsidRPr="001E6B70">
        <w:t>community</w:t>
      </w:r>
      <w:r>
        <w:t>’s</w:t>
      </w:r>
      <w:proofErr w:type="gramEnd"/>
      <w:r w:rsidRPr="001E6B70">
        <w:t>, or service setting’s ongoing, stable operations.</w:t>
      </w:r>
    </w:p>
    <w:p w14:paraId="3CD50CE9" w14:textId="77777777" w:rsidR="00B67C3B" w:rsidRDefault="00B67C3B" w:rsidP="00B67C3B">
      <w:pPr>
        <w:ind w:left="0"/>
        <w:rPr>
          <w:rFonts w:eastAsia="Libre Baskerville"/>
        </w:rPr>
      </w:pPr>
    </w:p>
    <w:p w14:paraId="545D249B" w14:textId="77777777" w:rsidR="00B67C3B" w:rsidRPr="001E6B70" w:rsidRDefault="00B67C3B" w:rsidP="00B67C3B">
      <w:r w:rsidRPr="001E6B70">
        <w:t xml:space="preserve">System partners involved in different levels of Triple P scale-up (e.g., state, county, agency, and practitioner) may have varied interests across these nine implementation outcomes. While partners may want to review these alternatives and determine which mix may be useful at their system level, the ICTP projects team strongly recommends that program </w:t>
      </w:r>
      <w:r w:rsidRPr="001E6B70">
        <w:rPr>
          <w:i/>
        </w:rPr>
        <w:t>fidelity</w:t>
      </w:r>
      <w:r w:rsidRPr="001E6B70">
        <w:t xml:space="preserve"> be monitored by every system level. Fidelity has demonstrated particular importance in replicating evidence-based program outcomes in real-world settings </w:t>
      </w:r>
      <w:r w:rsidRPr="001E6B70">
        <w:fldChar w:fldCharType="begin">
          <w:fldData xml:space="preserve">PEVuZE5vdGU+PENpdGU+PEF1dGhvcj5MZWVtYW48L0F1dGhvcj48WWVhcj4yMDE1PC9ZZWFyPjxS
ZWNOdW0+MzQzMjwvUmVjTnVtPjxEaXNwbGF5VGV4dD5bOTEsIDkzXTwvRGlzcGxheVRleHQ+PHJl
Y29yZD48cmVjLW51bWJlcj4zNDMyPC9yZWMtbnVtYmVyPjxmb3JlaWduLWtleXM+PGtleSBhcHA9
IkVOIiBkYi1pZD0iOTJ0dzBzeGFyZWRyZG9ldmEyb3ZkZTltZDBlcHQwZXpwNTV6IiB0aW1lc3Rh
bXA9IjAiPjM0MzI8L2tleT48L2ZvcmVpZ24ta2V5cz48cmVmLXR5cGUgbmFtZT0iSm91cm5hbCBB
cnRpY2xlIj4xNzwvcmVmLXR5cGU+PGNvbnRyaWJ1dG9ycz48YXV0aG9ycz48YXV0aG9yPkxlZW1h
biwgSmVubmlmZXI8L2F1dGhvcj48YXV0aG9yPkNhbGFuY2llLCBMYXJpc3NhPC9hdXRob3I+PGF1
dGhvcj5IYXJ0bWFuLCBNYXJpZWtlIEEuPC9hdXRob3I+PGF1dGhvcj5Fc2NvZmZlcnksIENhbSBU
LjwvYXV0aG9yPjxhdXRob3I+SGVycm1hbm4sIEFsaXNvbiBLLjwvYXV0aG9yPjxhdXRob3I+VGFn
dWUsIExpbmRzYXkgRS48L2F1dGhvcj48YXV0aG9yPk1vb3JlLCBBbGV4aXMgQS48L2F1dGhvcj48
YXV0aG9yPldpbHNvbiwgS2F0aGVyaW5lIE0uPC9hdXRob3I+PGF1dGhvcj5TY2hyZWluZXIsIE1p
Y2hlbGxlPC9hdXRob3I+PGF1dGhvcj5TYW11ZWwtSG9kZ2UsIENhcm1lbjwvYXV0aG9yPjwvYXV0
aG9ycz48L2NvbnRyaWJ1dG9ycz48dGl0bGVzPjx0aXRsZT5XaGF0IHN0cmF0ZWdpZXMgYXJlIHVz
ZWQgdG8gYnVpbGQgcHJhY3RpdGlvbmVyc+KAmSBjYXBhY2l0eSB0byBpbXBsZW1lbnQgY29tbXVu
aXR5LWJhc2VkIGludGVydmVudGlvbnMgYW5kIGFyZSB0aGV5IGVmZmVjdGl2ZT86IGEgc3lzdGVt
YXRpYyByZXZpZXc8L3RpdGxlPjxzZWNvbmRhcnktdGl0bGU+SW1wbGVtZW50YXRpb24gU2NpZW5j
ZTwvc2Vjb25kYXJ5LXRpdGxlPjwvdGl0bGVzPjxwZXJpb2RpY2FsPjxmdWxsLXRpdGxlPkltcGxl
bWVudGF0aW9uIFNjaWVuY2U8L2Z1bGwtdGl0bGU+PC9wZXJpb2RpY2FsPjxwYWdlcz44MDwvcGFn
ZXM+PHZvbHVtZT4xMDwvdm9sdW1lPjxudW1iZXI+MTwvbnVtYmVyPjxkYXRlcz48eWVhcj4yMDE1
PC95ZWFyPjwvZGF0ZXM+PGlzYm4+MTc0OC01OTA4PC9pc2JuPjxsYWJlbD5MZWVtYW4yMDE1PC9s
YWJlbD48d29yay10eXBlPmpvdXJuYWwgYXJ0aWNsZTwvd29yay10eXBlPjx1cmxzPjxyZWxhdGVk
LXVybHM+PHVybD5odHRwOi8vZHguZG9pLm9yZy8xMC4xMTg2L3MxMzAxMi0wMTUtMDI3Mi03PC91
cmw+PC9yZWxhdGVkLXVybHM+PC91cmxzPjxlbGVjdHJvbmljLXJlc291cmNlLW51bT4xMC4xMTg2
L3MxMzAxMi0wMTUtMDI3Mi03PC9lbGVjdHJvbmljLXJlc291cmNlLW51bT48L3JlY29yZD48L0Np
dGU+PENpdGU+PEF1dGhvcj5NaWhhbGljPC9BdXRob3I+PFllYXI+MjAwNDwvWWVhcj48UmVjTnVt
PjIwMzk8L1JlY051bT48cmVjb3JkPjxyZWMtbnVtYmVyPjIwMzk8L3JlYy1udW1iZXI+PGZvcmVp
Z24ta2V5cz48a2V5IGFwcD0iRU4iIGRiLWlkPSI5MnR3MHN4YXJlZHJkb2V2YTJvdmRlOW1kMGVw
dDBlenA1NXoiIHRpbWVzdGFtcD0iMCI+MjAzOTwva2V5PjwvZm9yZWlnbi1rZXlzPjxyZWYtdHlw
ZSBuYW1lPSJKb3VybmFsIEFydGljbGUiPjE3PC9yZWYtdHlwZT48Y29udHJpYnV0b3JzPjxhdXRo
b3JzPjxhdXRob3I+TWloYWxpYywgUzwvYXV0aG9yPjwvYXV0aG9ycz48L2NvbnRyaWJ1dG9ycz48
dGl0bGVzPjx0aXRsZT5UaGUgaW1wb3J0YW5jZSBvZiBpbXBsZW1lbnRhdGlvbiBmaWRlbGl0eTwv
dGl0bGU+PHNlY29uZGFyeS10aXRsZT5FbW90aW9uYWwgYW5kIEJlaGF2aW9yYWwgRGlzb3JkZXJz
IGluIFlvdXRoPC9zZWNvbmRhcnktdGl0bGU+PGFsdC10aXRsZT5FbW90aW9uYWwgYW5kIEJlaGF2
aW9yYWwgRGlzb3JkZXJzIGluIFlvdXRoPC9hbHQtdGl0bGU+PC90aXRsZXM+PHBlcmlvZGljYWw+
PGZ1bGwtdGl0bGU+RW1vdCBCZWhhdiBEaXNvcmQgWW91dGg8L2Z1bGwtdGl0bGU+PGFiYnItMT5F
bW90aW9uYWwgYW5kIEJlaGF2aW9yYWwgRGlzb3JkZXJzIGluIFlvdXRoPC9hYmJyLTE+PC9wZXJp
b2RpY2FsPjxhbHQtcGVyaW9kaWNhbD48ZnVsbC10aXRsZT5FbW90IEJlaGF2IERpc29yZCBZb3V0
aDwvZnVsbC10aXRsZT48YWJici0xPkVtb3Rpb25hbCBhbmQgQmVoYXZpb3JhbCBEaXNvcmRlcnMg
aW4gWW91dGg8L2FiYnItMT48L2FsdC1wZXJpb2RpY2FsPjxwYWdlcz44MyAtIDEwNTwvcGFnZXM+
PHZvbHVtZT40PC92b2x1bWU+PGRhdGVzPjx5ZWFyPjIwMDQ8L3llYXI+PC9kYXRlcz48dXJscz48
L3VybHM+PC9yZWNvcmQ+PC9DaXRlPjwvRW5kTm90ZT5=
</w:fldData>
        </w:fldChar>
      </w:r>
      <w:r w:rsidRPr="001E6B70">
        <w:instrText xml:space="preserve"> ADDIN EN.CITE </w:instrText>
      </w:r>
      <w:r w:rsidRPr="001E6B70">
        <w:fldChar w:fldCharType="begin">
          <w:fldData xml:space="preserve">PEVuZE5vdGU+PENpdGU+PEF1dGhvcj5MZWVtYW48L0F1dGhvcj48WWVhcj4yMDE1PC9ZZWFyPjxS
ZWNOdW0+MzQzMjwvUmVjTnVtPjxEaXNwbGF5VGV4dD5bOTEsIDkzXTwvRGlzcGxheVRleHQ+PHJl
Y29yZD48cmVjLW51bWJlcj4zNDMyPC9yZWMtbnVtYmVyPjxmb3JlaWduLWtleXM+PGtleSBhcHA9
IkVOIiBkYi1pZD0iOTJ0dzBzeGFyZWRyZG9ldmEyb3ZkZTltZDBlcHQwZXpwNTV6IiB0aW1lc3Rh
bXA9IjAiPjM0MzI8L2tleT48L2ZvcmVpZ24ta2V5cz48cmVmLXR5cGUgbmFtZT0iSm91cm5hbCBB
cnRpY2xlIj4xNzwvcmVmLXR5cGU+PGNvbnRyaWJ1dG9ycz48YXV0aG9ycz48YXV0aG9yPkxlZW1h
biwgSmVubmlmZXI8L2F1dGhvcj48YXV0aG9yPkNhbGFuY2llLCBMYXJpc3NhPC9hdXRob3I+PGF1
dGhvcj5IYXJ0bWFuLCBNYXJpZWtlIEEuPC9hdXRob3I+PGF1dGhvcj5Fc2NvZmZlcnksIENhbSBU
LjwvYXV0aG9yPjxhdXRob3I+SGVycm1hbm4sIEFsaXNvbiBLLjwvYXV0aG9yPjxhdXRob3I+VGFn
dWUsIExpbmRzYXkgRS48L2F1dGhvcj48YXV0aG9yPk1vb3JlLCBBbGV4aXMgQS48L2F1dGhvcj48
YXV0aG9yPldpbHNvbiwgS2F0aGVyaW5lIE0uPC9hdXRob3I+PGF1dGhvcj5TY2hyZWluZXIsIE1p
Y2hlbGxlPC9hdXRob3I+PGF1dGhvcj5TYW11ZWwtSG9kZ2UsIENhcm1lbjwvYXV0aG9yPjwvYXV0
aG9ycz48L2NvbnRyaWJ1dG9ycz48dGl0bGVzPjx0aXRsZT5XaGF0IHN0cmF0ZWdpZXMgYXJlIHVz
ZWQgdG8gYnVpbGQgcHJhY3RpdGlvbmVyc+KAmSBjYXBhY2l0eSB0byBpbXBsZW1lbnQgY29tbXVu
aXR5LWJhc2VkIGludGVydmVudGlvbnMgYW5kIGFyZSB0aGV5IGVmZmVjdGl2ZT86IGEgc3lzdGVt
YXRpYyByZXZpZXc8L3RpdGxlPjxzZWNvbmRhcnktdGl0bGU+SW1wbGVtZW50YXRpb24gU2NpZW5j
ZTwvc2Vjb25kYXJ5LXRpdGxlPjwvdGl0bGVzPjxwZXJpb2RpY2FsPjxmdWxsLXRpdGxlPkltcGxl
bWVudGF0aW9uIFNjaWVuY2U8L2Z1bGwtdGl0bGU+PC9wZXJpb2RpY2FsPjxwYWdlcz44MDwvcGFn
ZXM+PHZvbHVtZT4xMDwvdm9sdW1lPjxudW1iZXI+MTwvbnVtYmVyPjxkYXRlcz48eWVhcj4yMDE1
PC95ZWFyPjwvZGF0ZXM+PGlzYm4+MTc0OC01OTA4PC9pc2JuPjxsYWJlbD5MZWVtYW4yMDE1PC9s
YWJlbD48d29yay10eXBlPmpvdXJuYWwgYXJ0aWNsZTwvd29yay10eXBlPjx1cmxzPjxyZWxhdGVk
LXVybHM+PHVybD5odHRwOi8vZHguZG9pLm9yZy8xMC4xMTg2L3MxMzAxMi0wMTUtMDI3Mi03PC91
cmw+PC9yZWxhdGVkLXVybHM+PC91cmxzPjxlbGVjdHJvbmljLXJlc291cmNlLW51bT4xMC4xMTg2
L3MxMzAxMi0wMTUtMDI3Mi03PC9lbGVjdHJvbmljLXJlc291cmNlLW51bT48L3JlY29yZD48L0Np
dGU+PENpdGU+PEF1dGhvcj5NaWhhbGljPC9BdXRob3I+PFllYXI+MjAwNDwvWWVhcj48UmVjTnVt
PjIwMzk8L1JlY051bT48cmVjb3JkPjxyZWMtbnVtYmVyPjIwMzk8L3JlYy1udW1iZXI+PGZvcmVp
Z24ta2V5cz48a2V5IGFwcD0iRU4iIGRiLWlkPSI5MnR3MHN4YXJlZHJkb2V2YTJvdmRlOW1kMGVw
dDBlenA1NXoiIHRpbWVzdGFtcD0iMCI+MjAzOTwva2V5PjwvZm9yZWlnbi1rZXlzPjxyZWYtdHlw
ZSBuYW1lPSJKb3VybmFsIEFydGljbGUiPjE3PC9yZWYtdHlwZT48Y29udHJpYnV0b3JzPjxhdXRo
b3JzPjxhdXRob3I+TWloYWxpYywgUzwvYXV0aG9yPjwvYXV0aG9ycz48L2NvbnRyaWJ1dG9ycz48
dGl0bGVzPjx0aXRsZT5UaGUgaW1wb3J0YW5jZSBvZiBpbXBsZW1lbnRhdGlvbiBmaWRlbGl0eTwv
dGl0bGU+PHNlY29uZGFyeS10aXRsZT5FbW90aW9uYWwgYW5kIEJlaGF2aW9yYWwgRGlzb3JkZXJz
IGluIFlvdXRoPC9zZWNvbmRhcnktdGl0bGU+PGFsdC10aXRsZT5FbW90aW9uYWwgYW5kIEJlaGF2
aW9yYWwgRGlzb3JkZXJzIGluIFlvdXRoPC9hbHQtdGl0bGU+PC90aXRsZXM+PHBlcmlvZGljYWw+
PGZ1bGwtdGl0bGU+RW1vdCBCZWhhdiBEaXNvcmQgWW91dGg8L2Z1bGwtdGl0bGU+PGFiYnItMT5F
bW90aW9uYWwgYW5kIEJlaGF2aW9yYWwgRGlzb3JkZXJzIGluIFlvdXRoPC9hYmJyLTE+PC9wZXJp
b2RpY2FsPjxhbHQtcGVyaW9kaWNhbD48ZnVsbC10aXRsZT5FbW90IEJlaGF2IERpc29yZCBZb3V0
aDwvZnVsbC10aXRsZT48YWJici0xPkVtb3Rpb25hbCBhbmQgQmVoYXZpb3JhbCBEaXNvcmRlcnMg
aW4gWW91dGg8L2FiYnItMT48L2FsdC1wZXJpb2RpY2FsPjxwYWdlcz44MyAtIDEwNTwvcGFnZXM+
PHZvbHVtZT40PC92b2x1bWU+PGRhdGVzPjx5ZWFyPjIwMDQ8L3llYXI+PC9kYXRlcz48dXJscz48
L3VybHM+PC9yZWNvcmQ+PC9DaXRlPjwvRW5kTm90ZT5=
</w:fldData>
        </w:fldChar>
      </w:r>
      <w:r w:rsidRPr="001E6B70">
        <w:instrText xml:space="preserve"> ADDIN EN.CITE.DATA </w:instrText>
      </w:r>
      <w:r w:rsidRPr="001E6B70">
        <w:fldChar w:fldCharType="end"/>
      </w:r>
      <w:r w:rsidRPr="001E6B70">
        <w:fldChar w:fldCharType="separate"/>
      </w:r>
      <w:r w:rsidRPr="001E6B70">
        <w:rPr>
          <w:noProof/>
        </w:rPr>
        <w:t>[9</w:t>
      </w:r>
      <w:r>
        <w:rPr>
          <w:noProof/>
        </w:rPr>
        <w:t>0</w:t>
      </w:r>
      <w:r w:rsidRPr="001E6B70">
        <w:rPr>
          <w:noProof/>
        </w:rPr>
        <w:t>, 9</w:t>
      </w:r>
      <w:r>
        <w:rPr>
          <w:noProof/>
        </w:rPr>
        <w:t>3</w:t>
      </w:r>
      <w:r w:rsidRPr="001E6B70">
        <w:rPr>
          <w:noProof/>
        </w:rPr>
        <w:t>]</w:t>
      </w:r>
      <w:r w:rsidRPr="001E6B70">
        <w:fldChar w:fldCharType="end"/>
      </w:r>
      <w:r w:rsidRPr="001E6B70">
        <w:t xml:space="preserve">. In addition, by choosing from and attending to other implementation outcomes, we believe that system partners at any level can monitor implementation in accordance with Triple P’s stated philosophy of “fidelity and flexibility.” For example, monitoring variables like </w:t>
      </w:r>
      <w:r w:rsidRPr="001E6B70">
        <w:rPr>
          <w:iCs/>
        </w:rPr>
        <w:t>acceptability and appropriateness</w:t>
      </w:r>
      <w:r w:rsidRPr="001E6B70">
        <w:t xml:space="preserve"> can ensure that core intervention components are reaching local families in a way that is responsive to their needs and preferences. </w:t>
      </w:r>
    </w:p>
    <w:sectPr w:rsidR="00B67C3B" w:rsidRPr="001E6B70" w:rsidSect="00E01F92">
      <w:headerReference w:type="default" r:id="rId14"/>
      <w:footerReference w:type="default" r:id="rId15"/>
      <w:pgSz w:w="12240" w:h="15840"/>
      <w:pgMar w:top="1440" w:right="990" w:bottom="1829" w:left="1080" w:header="720" w:footer="792" w:gutter="0"/>
      <w:pgNumType w:start="2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7988" w14:textId="77777777" w:rsidR="004D1FEA" w:rsidRDefault="004D1FEA" w:rsidP="005F3829">
      <w:r>
        <w:separator/>
      </w:r>
    </w:p>
  </w:endnote>
  <w:endnote w:type="continuationSeparator" w:id="0">
    <w:p w14:paraId="7D7DB6A3" w14:textId="77777777" w:rsidR="004D1FEA" w:rsidRDefault="004D1FEA"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EndPr>
      <w:rPr>
        <w:sz w:val="18"/>
      </w:rPr>
    </w:sdtEndPr>
    <w:sdtContent>
      <w:p w14:paraId="0FB197FC" w14:textId="77774662"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916FD7">
          <w:rPr>
            <w:rFonts w:eastAsia="Lato" w:cs="Open Sans"/>
            <w:color w:val="002060"/>
            <w:sz w:val="20"/>
            <w:szCs w:val="20"/>
          </w:rPr>
          <w:t>I</w:t>
        </w:r>
        <w:r w:rsidR="00CC4915" w:rsidRPr="00CC4915">
          <w:rPr>
            <w:rFonts w:eastAsia="Lato" w:cs="Open Sans"/>
            <w:color w:val="002060"/>
            <w:sz w:val="20"/>
            <w:szCs w:val="20"/>
          </w:rPr>
          <w:t>C</w:t>
        </w:r>
        <w:r w:rsidR="00916FD7">
          <w:rPr>
            <w:rFonts w:eastAsia="Lato" w:cs="Open Sans"/>
            <w:color w:val="002060"/>
            <w:sz w:val="20"/>
            <w:szCs w:val="20"/>
          </w:rPr>
          <w:t>TP</w:t>
        </w:r>
        <w:r w:rsidR="00CC4915" w:rsidRPr="00CC4915">
          <w:rPr>
            <w:rFonts w:eastAsia="Lato" w:cs="Open Sans"/>
            <w:color w:val="002060"/>
            <w:sz w:val="20"/>
            <w:szCs w:val="20"/>
          </w:rPr>
          <w:t xml:space="preserve"> </w:t>
        </w:r>
        <w:r w:rsidR="00916FD7">
          <w:rPr>
            <w:rFonts w:eastAsia="Lato" w:cs="Open Sans"/>
            <w:color w:val="002060"/>
            <w:sz w:val="20"/>
            <w:szCs w:val="20"/>
          </w:rPr>
          <w:t xml:space="preserve">INTEGRATED THEORY OF CHANGE </w:t>
        </w:r>
      </w:p>
      <w:p w14:paraId="2B205A57"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FBDE" w14:textId="77777777" w:rsidR="004D1FEA" w:rsidRDefault="004D1FEA" w:rsidP="005F3829">
      <w:r>
        <w:separator/>
      </w:r>
    </w:p>
  </w:footnote>
  <w:footnote w:type="continuationSeparator" w:id="0">
    <w:p w14:paraId="19F63623" w14:textId="77777777" w:rsidR="004D1FEA" w:rsidRDefault="004D1FEA"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A7BB" w14:textId="5E447E78" w:rsidR="00247502" w:rsidRDefault="00247502">
    <w:pPr>
      <w:pStyle w:val="Header"/>
    </w:pPr>
    <w:r>
      <w:rPr>
        <w:noProof/>
      </w:rPr>
      <mc:AlternateContent>
        <mc:Choice Requires="wps">
          <w:drawing>
            <wp:anchor distT="0" distB="0" distL="114300" distR="114300" simplePos="0" relativeHeight="251659264" behindDoc="0" locked="0" layoutInCell="1" allowOverlap="1" wp14:anchorId="04B49E0F" wp14:editId="022ECF40">
              <wp:simplePos x="0" y="0"/>
              <wp:positionH relativeFrom="column">
                <wp:posOffset>0</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E9F28FD" w14:textId="77777777" w:rsidR="00247502" w:rsidRDefault="00247502" w:rsidP="00247502">
                          <w:pPr>
                            <w:ind w:left="0"/>
                            <w:jc w:val="center"/>
                            <w:rPr>
                              <w:sz w:val="13"/>
                              <w:szCs w:val="13"/>
                            </w:rPr>
                          </w:pPr>
                          <w:r w:rsidRPr="0061580A">
                            <w:rPr>
                              <w:sz w:val="13"/>
                              <w:szCs w:val="13"/>
                            </w:rPr>
                            <w:t>BRIEF</w:t>
                          </w:r>
                        </w:p>
                        <w:p w14:paraId="7AF44E98" w14:textId="1E10C5AC" w:rsidR="00247502" w:rsidRDefault="00247502" w:rsidP="00247502">
                          <w:pPr>
                            <w:ind w:left="0"/>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B49E0F" id="Rectangle 1" o:spid="_x0000_s1027" style="position:absolute;left:0;text-align:left;margin-left:0;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CN9yNjbAAAABAEAAA8AAABkcnMvZG93bnJldi54bWxMj0FvwjAMhe+T9h8iT9oNUjat&#10;q0pTBBOTJm5j0ypuofGaao1TNQHKv585wcl6ftZ7n4vF6DpxxCG0nhTMpgkIpNqblhoF31/vkwxE&#10;iJqM7jyhgjMGWJT3d4XOjT/RJx63sREcQiHXCmyMfS5lqC06Haa+R2Lv1w9OR5ZDI82gTxzuOvmU&#10;JKl0uiVusLrHN4v13/bgFLiX+iOeq/XOpOvXyq9stfkxz0o9PozLOYiIY7wewwWf0aFkpr0/kAmi&#10;U8CPRAWTNJuBYDtLeO4va1kW8ha+/AcAAP//AwBQSwECLQAUAAYACAAAACEAtoM4kv4AAADhAQAA&#10;EwAAAAAAAAAAAAAAAAAAAAAAW0NvbnRlbnRfVHlwZXNdLnhtbFBLAQItABQABgAIAAAAIQA4/SH/&#10;1gAAAJQBAAALAAAAAAAAAAAAAAAAAC8BAABfcmVscy8ucmVsc1BLAQItABQABgAIAAAAIQDH6gnb&#10;hQIAAGkFAAAOAAAAAAAAAAAAAAAAAC4CAABkcnMvZTJvRG9jLnhtbFBLAQItABQABgAIAAAAIQAj&#10;fcjY2wAAAAQBAAAPAAAAAAAAAAAAAAAAAN8EAABkcnMvZG93bnJldi54bWxQSwUGAAAAAAQABADz&#10;AAAA5wUAAAAA&#10;" fillcolor="#384975" stroked="f" strokeweight="1pt">
              <v:textbox>
                <w:txbxContent>
                  <w:p w14:paraId="3E9F28FD" w14:textId="77777777" w:rsidR="00247502" w:rsidRDefault="00247502" w:rsidP="00247502">
                    <w:pPr>
                      <w:ind w:left="0"/>
                      <w:jc w:val="center"/>
                      <w:rPr>
                        <w:sz w:val="13"/>
                        <w:szCs w:val="13"/>
                      </w:rPr>
                    </w:pPr>
                    <w:r w:rsidRPr="0061580A">
                      <w:rPr>
                        <w:sz w:val="13"/>
                        <w:szCs w:val="13"/>
                      </w:rPr>
                      <w:t>BRIEF</w:t>
                    </w:r>
                  </w:p>
                  <w:p w14:paraId="7AF44E98" w14:textId="1E10C5AC" w:rsidR="00247502" w:rsidRDefault="00247502" w:rsidP="00247502">
                    <w:pPr>
                      <w:ind w:left="0"/>
                      <w:jc w:val="center"/>
                    </w:pPr>
                    <w:r>
                      <w:t>3</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B57CF532"/>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27F3E"/>
    <w:multiLevelType w:val="hybridMultilevel"/>
    <w:tmpl w:val="90C681E4"/>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5B5633"/>
    <w:multiLevelType w:val="hybridMultilevel"/>
    <w:tmpl w:val="C8EC97D8"/>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08B070AD"/>
    <w:multiLevelType w:val="hybridMultilevel"/>
    <w:tmpl w:val="24FC474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9AD446BE">
      <w:start w:val="1"/>
      <w:numFmt w:val="bullet"/>
      <w:lvlText w:val="o"/>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99E13F6"/>
    <w:multiLevelType w:val="hybridMultilevel"/>
    <w:tmpl w:val="4CD62AD6"/>
    <w:lvl w:ilvl="0" w:tplc="B0564312">
      <w:start w:val="1"/>
      <w:numFmt w:val="decimal"/>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693729"/>
    <w:multiLevelType w:val="hybridMultilevel"/>
    <w:tmpl w:val="C5000298"/>
    <w:lvl w:ilvl="0" w:tplc="B0564312">
      <w:start w:val="1"/>
      <w:numFmt w:val="decimal"/>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C64219"/>
    <w:multiLevelType w:val="hybridMultilevel"/>
    <w:tmpl w:val="E01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78F6F72"/>
    <w:multiLevelType w:val="hybridMultilevel"/>
    <w:tmpl w:val="250E0EC2"/>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4C7F46"/>
    <w:multiLevelType w:val="hybridMultilevel"/>
    <w:tmpl w:val="148A33CE"/>
    <w:lvl w:ilvl="0" w:tplc="D700C11C">
      <w:start w:val="1"/>
      <w:numFmt w:val="lowerLetter"/>
      <w:pStyle w:val="ListBullet-SUB"/>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D0790C"/>
    <w:multiLevelType w:val="hybridMultilevel"/>
    <w:tmpl w:val="CEFE8E2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7510BF"/>
    <w:multiLevelType w:val="hybridMultilevel"/>
    <w:tmpl w:val="5C582CC8"/>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221EBE"/>
    <w:multiLevelType w:val="hybridMultilevel"/>
    <w:tmpl w:val="C65A12A6"/>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6ED5CFF"/>
    <w:multiLevelType w:val="hybridMultilevel"/>
    <w:tmpl w:val="8FBCA48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D92CA2"/>
    <w:multiLevelType w:val="hybridMultilevel"/>
    <w:tmpl w:val="214E0AF0"/>
    <w:lvl w:ilvl="0" w:tplc="328EC1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47"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DA4C74"/>
    <w:multiLevelType w:val="multilevel"/>
    <w:tmpl w:val="530ECD6C"/>
    <w:styleLink w:val="CurrentList9"/>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7304ED8"/>
    <w:multiLevelType w:val="hybridMultilevel"/>
    <w:tmpl w:val="BE2C287C"/>
    <w:lvl w:ilvl="0" w:tplc="A6708B10">
      <w:start w:val="1"/>
      <w:numFmt w:val="decimal"/>
      <w:pStyle w:val="Footer"/>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5E74E67"/>
    <w:multiLevelType w:val="multilevel"/>
    <w:tmpl w:val="F3A46BB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61" w15:restartNumberingAfterBreak="0">
    <w:nsid w:val="57A10D87"/>
    <w:multiLevelType w:val="hybridMultilevel"/>
    <w:tmpl w:val="5E0A0C04"/>
    <w:lvl w:ilvl="0" w:tplc="127C6F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B07809"/>
    <w:multiLevelType w:val="hybridMultilevel"/>
    <w:tmpl w:val="46826094"/>
    <w:lvl w:ilvl="0" w:tplc="9AA05D8C">
      <w:start w:val="1"/>
      <w:numFmt w:val="decimal"/>
      <w:lvlText w:val="[%1]"/>
      <w:lvlJc w:val="left"/>
      <w:pPr>
        <w:ind w:left="72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E96986"/>
    <w:multiLevelType w:val="hybridMultilevel"/>
    <w:tmpl w:val="D9E6E5F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FE813F7"/>
    <w:multiLevelType w:val="hybridMultilevel"/>
    <w:tmpl w:val="250E0EC2"/>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74"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D71B56"/>
    <w:multiLevelType w:val="hybridMultilevel"/>
    <w:tmpl w:val="E72E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C63A70"/>
    <w:multiLevelType w:val="hybridMultilevel"/>
    <w:tmpl w:val="341EB82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8" w15:restartNumberingAfterBreak="0">
    <w:nsid w:val="6D397A5A"/>
    <w:multiLevelType w:val="hybridMultilevel"/>
    <w:tmpl w:val="56124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1F110F"/>
    <w:multiLevelType w:val="hybridMultilevel"/>
    <w:tmpl w:val="0234CB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4D07C7"/>
    <w:multiLevelType w:val="hybridMultilevel"/>
    <w:tmpl w:val="2576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9C41CF8"/>
    <w:multiLevelType w:val="hybridMultilevel"/>
    <w:tmpl w:val="37066CEA"/>
    <w:lvl w:ilvl="0" w:tplc="B0564312">
      <w:start w:val="1"/>
      <w:numFmt w:val="decimal"/>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AF606A6"/>
    <w:multiLevelType w:val="hybridMultilevel"/>
    <w:tmpl w:val="9EF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485339"/>
    <w:multiLevelType w:val="hybridMultilevel"/>
    <w:tmpl w:val="F578B55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29"/>
  </w:num>
  <w:num w:numId="4" w16cid:durableId="1643997132">
    <w:abstractNumId w:val="0"/>
  </w:num>
  <w:num w:numId="5" w16cid:durableId="1427731844">
    <w:abstractNumId w:val="82"/>
  </w:num>
  <w:num w:numId="6" w16cid:durableId="746877472">
    <w:abstractNumId w:val="80"/>
  </w:num>
  <w:num w:numId="7" w16cid:durableId="1786773656">
    <w:abstractNumId w:val="9"/>
  </w:num>
  <w:num w:numId="8" w16cid:durableId="1897007784">
    <w:abstractNumId w:val="43"/>
  </w:num>
  <w:num w:numId="9" w16cid:durableId="225532596">
    <w:abstractNumId w:val="7"/>
  </w:num>
  <w:num w:numId="10" w16cid:durableId="1015109364">
    <w:abstractNumId w:val="40"/>
  </w:num>
  <w:num w:numId="11" w16cid:durableId="455635238">
    <w:abstractNumId w:val="50"/>
  </w:num>
  <w:num w:numId="12" w16cid:durableId="1306620319">
    <w:abstractNumId w:val="66"/>
  </w:num>
  <w:num w:numId="13" w16cid:durableId="869532227">
    <w:abstractNumId w:val="75"/>
  </w:num>
  <w:num w:numId="14" w16cid:durableId="92555518">
    <w:abstractNumId w:val="67"/>
  </w:num>
  <w:num w:numId="15" w16cid:durableId="367069993">
    <w:abstractNumId w:val="37"/>
  </w:num>
  <w:num w:numId="16" w16cid:durableId="723454207">
    <w:abstractNumId w:val="15"/>
  </w:num>
  <w:num w:numId="17" w16cid:durableId="753743320">
    <w:abstractNumId w:val="65"/>
  </w:num>
  <w:num w:numId="18" w16cid:durableId="654845919">
    <w:abstractNumId w:val="63"/>
  </w:num>
  <w:num w:numId="19" w16cid:durableId="637421270">
    <w:abstractNumId w:val="58"/>
  </w:num>
  <w:num w:numId="20" w16cid:durableId="1093360072">
    <w:abstractNumId w:val="64"/>
  </w:num>
  <w:num w:numId="21" w16cid:durableId="105000690">
    <w:abstractNumId w:val="20"/>
  </w:num>
  <w:num w:numId="22" w16cid:durableId="751973327">
    <w:abstractNumId w:val="8"/>
  </w:num>
  <w:num w:numId="23" w16cid:durableId="1507089947">
    <w:abstractNumId w:val="27"/>
  </w:num>
  <w:num w:numId="24" w16cid:durableId="2144732420">
    <w:abstractNumId w:val="21"/>
  </w:num>
  <w:num w:numId="25" w16cid:durableId="400904157">
    <w:abstractNumId w:val="6"/>
  </w:num>
  <w:num w:numId="26" w16cid:durableId="467403196">
    <w:abstractNumId w:val="47"/>
  </w:num>
  <w:num w:numId="27" w16cid:durableId="915362102">
    <w:abstractNumId w:val="12"/>
  </w:num>
  <w:num w:numId="28" w16cid:durableId="1576084713">
    <w:abstractNumId w:val="57"/>
  </w:num>
  <w:num w:numId="29" w16cid:durableId="1127285350">
    <w:abstractNumId w:val="79"/>
  </w:num>
  <w:num w:numId="30" w16cid:durableId="791752577">
    <w:abstractNumId w:val="41"/>
  </w:num>
  <w:num w:numId="31" w16cid:durableId="1121532902">
    <w:abstractNumId w:val="90"/>
  </w:num>
  <w:num w:numId="32" w16cid:durableId="585773582">
    <w:abstractNumId w:val="51"/>
  </w:num>
  <w:num w:numId="33" w16cid:durableId="526529685">
    <w:abstractNumId w:val="22"/>
  </w:num>
  <w:num w:numId="34" w16cid:durableId="1573924017">
    <w:abstractNumId w:val="36"/>
  </w:num>
  <w:num w:numId="35" w16cid:durableId="1061559268">
    <w:abstractNumId w:val="5"/>
  </w:num>
  <w:num w:numId="36" w16cid:durableId="722220672">
    <w:abstractNumId w:val="33"/>
  </w:num>
  <w:num w:numId="37" w16cid:durableId="2015648837">
    <w:abstractNumId w:val="36"/>
    <w:lvlOverride w:ilvl="0">
      <w:startOverride w:val="1"/>
    </w:lvlOverride>
  </w:num>
  <w:num w:numId="38" w16cid:durableId="189992886">
    <w:abstractNumId w:val="59"/>
  </w:num>
  <w:num w:numId="39" w16cid:durableId="798257106">
    <w:abstractNumId w:val="31"/>
  </w:num>
  <w:num w:numId="40" w16cid:durableId="1458796170">
    <w:abstractNumId w:val="72"/>
  </w:num>
  <w:num w:numId="41" w16cid:durableId="985429762">
    <w:abstractNumId w:val="71"/>
  </w:num>
  <w:num w:numId="42" w16cid:durableId="592477942">
    <w:abstractNumId w:val="2"/>
  </w:num>
  <w:num w:numId="43" w16cid:durableId="664670678">
    <w:abstractNumId w:val="88"/>
  </w:num>
  <w:num w:numId="44" w16cid:durableId="442841348">
    <w:abstractNumId w:val="74"/>
  </w:num>
  <w:num w:numId="45" w16cid:durableId="1821575096">
    <w:abstractNumId w:val="3"/>
  </w:num>
  <w:num w:numId="46" w16cid:durableId="1795828116">
    <w:abstractNumId w:val="89"/>
  </w:num>
  <w:num w:numId="47" w16cid:durableId="900210034">
    <w:abstractNumId w:val="54"/>
  </w:num>
  <w:num w:numId="48" w16cid:durableId="635456117">
    <w:abstractNumId w:val="28"/>
  </w:num>
  <w:num w:numId="49" w16cid:durableId="1204827950">
    <w:abstractNumId w:val="23"/>
  </w:num>
  <w:num w:numId="50" w16cid:durableId="1469664098">
    <w:abstractNumId w:val="13"/>
  </w:num>
  <w:num w:numId="51" w16cid:durableId="1111512196">
    <w:abstractNumId w:val="45"/>
  </w:num>
  <w:num w:numId="52" w16cid:durableId="1970235500">
    <w:abstractNumId w:val="62"/>
  </w:num>
  <w:num w:numId="53" w16cid:durableId="482432313">
    <w:abstractNumId w:val="35"/>
  </w:num>
  <w:num w:numId="54" w16cid:durableId="746536776">
    <w:abstractNumId w:val="18"/>
  </w:num>
  <w:num w:numId="55" w16cid:durableId="1379548821">
    <w:abstractNumId w:val="46"/>
  </w:num>
  <w:num w:numId="56" w16cid:durableId="2066098348">
    <w:abstractNumId w:val="52"/>
  </w:num>
  <w:num w:numId="57" w16cid:durableId="36009232">
    <w:abstractNumId w:val="42"/>
  </w:num>
  <w:num w:numId="58" w16cid:durableId="1470200739">
    <w:abstractNumId w:val="55"/>
  </w:num>
  <w:num w:numId="59" w16cid:durableId="1884554176">
    <w:abstractNumId w:val="73"/>
  </w:num>
  <w:num w:numId="60" w16cid:durableId="549923271">
    <w:abstractNumId w:val="49"/>
  </w:num>
  <w:num w:numId="61" w16cid:durableId="1968124216">
    <w:abstractNumId w:val="38"/>
  </w:num>
  <w:num w:numId="62" w16cid:durableId="2030139300">
    <w:abstractNumId w:val="25"/>
  </w:num>
  <w:num w:numId="63" w16cid:durableId="1473205752">
    <w:abstractNumId w:val="56"/>
  </w:num>
  <w:num w:numId="64" w16cid:durableId="2119593424">
    <w:abstractNumId w:val="16"/>
  </w:num>
  <w:num w:numId="65" w16cid:durableId="815341210">
    <w:abstractNumId w:val="60"/>
  </w:num>
  <w:num w:numId="66" w16cid:durableId="123619424">
    <w:abstractNumId w:val="86"/>
  </w:num>
  <w:num w:numId="67" w16cid:durableId="842546716">
    <w:abstractNumId w:val="81"/>
  </w:num>
  <w:num w:numId="68" w16cid:durableId="814103149">
    <w:abstractNumId w:val="32"/>
  </w:num>
  <w:num w:numId="69" w16cid:durableId="1856990911">
    <w:abstractNumId w:val="14"/>
  </w:num>
  <w:num w:numId="70" w16cid:durableId="1975868998">
    <w:abstractNumId w:val="4"/>
  </w:num>
  <w:num w:numId="71" w16cid:durableId="1787430497">
    <w:abstractNumId w:val="17"/>
  </w:num>
  <w:num w:numId="72" w16cid:durableId="1135874505">
    <w:abstractNumId w:val="70"/>
  </w:num>
  <w:num w:numId="73" w16cid:durableId="2079551469">
    <w:abstractNumId w:val="85"/>
  </w:num>
  <w:num w:numId="74" w16cid:durableId="1601794782">
    <w:abstractNumId w:val="76"/>
  </w:num>
  <w:num w:numId="75" w16cid:durableId="1311012016">
    <w:abstractNumId w:val="24"/>
  </w:num>
  <w:num w:numId="76" w16cid:durableId="804391237">
    <w:abstractNumId w:val="61"/>
  </w:num>
  <w:num w:numId="77" w16cid:durableId="36593532">
    <w:abstractNumId w:val="26"/>
  </w:num>
  <w:num w:numId="78" w16cid:durableId="1337877168">
    <w:abstractNumId w:val="53"/>
  </w:num>
  <w:num w:numId="79" w16cid:durableId="613560598">
    <w:abstractNumId w:val="77"/>
  </w:num>
  <w:num w:numId="80" w16cid:durableId="1111900269">
    <w:abstractNumId w:val="44"/>
  </w:num>
  <w:num w:numId="81" w16cid:durableId="1966308856">
    <w:abstractNumId w:val="68"/>
  </w:num>
  <w:num w:numId="82" w16cid:durableId="720129605">
    <w:abstractNumId w:val="78"/>
  </w:num>
  <w:num w:numId="83" w16cid:durableId="409929883">
    <w:abstractNumId w:val="48"/>
  </w:num>
  <w:num w:numId="84" w16cid:durableId="689374353">
    <w:abstractNumId w:val="84"/>
  </w:num>
  <w:num w:numId="85" w16cid:durableId="30569666">
    <w:abstractNumId w:val="19"/>
  </w:num>
  <w:num w:numId="86" w16cid:durableId="2052226682">
    <w:abstractNumId w:val="69"/>
  </w:num>
  <w:num w:numId="87" w16cid:durableId="561597124">
    <w:abstractNumId w:val="83"/>
  </w:num>
  <w:num w:numId="88" w16cid:durableId="639773073">
    <w:abstractNumId w:val="34"/>
  </w:num>
  <w:num w:numId="89" w16cid:durableId="450438275">
    <w:abstractNumId w:val="10"/>
  </w:num>
  <w:num w:numId="90" w16cid:durableId="1996644742">
    <w:abstractNumId w:val="11"/>
  </w:num>
  <w:num w:numId="91" w16cid:durableId="63065512">
    <w:abstractNumId w:val="30"/>
  </w:num>
  <w:num w:numId="92" w16cid:durableId="1751467287">
    <w:abstractNumId w:val="39"/>
  </w:num>
  <w:num w:numId="93" w16cid:durableId="1973241620">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96"/>
    <w:rsid w:val="0000345F"/>
    <w:rsid w:val="0001147C"/>
    <w:rsid w:val="00011B38"/>
    <w:rsid w:val="00024A9D"/>
    <w:rsid w:val="00035F7D"/>
    <w:rsid w:val="00041161"/>
    <w:rsid w:val="000470C7"/>
    <w:rsid w:val="00065645"/>
    <w:rsid w:val="00071496"/>
    <w:rsid w:val="00071CFB"/>
    <w:rsid w:val="00077C9B"/>
    <w:rsid w:val="00081BE1"/>
    <w:rsid w:val="00086FED"/>
    <w:rsid w:val="00091485"/>
    <w:rsid w:val="000935D4"/>
    <w:rsid w:val="000A0D7C"/>
    <w:rsid w:val="000A65A5"/>
    <w:rsid w:val="000B5263"/>
    <w:rsid w:val="000E3CF9"/>
    <w:rsid w:val="000F2AA8"/>
    <w:rsid w:val="000F791B"/>
    <w:rsid w:val="00101395"/>
    <w:rsid w:val="00103DF4"/>
    <w:rsid w:val="00110010"/>
    <w:rsid w:val="0012084C"/>
    <w:rsid w:val="00137C2C"/>
    <w:rsid w:val="00140E60"/>
    <w:rsid w:val="00142485"/>
    <w:rsid w:val="0015236B"/>
    <w:rsid w:val="00156841"/>
    <w:rsid w:val="00187F05"/>
    <w:rsid w:val="00191650"/>
    <w:rsid w:val="00193F53"/>
    <w:rsid w:val="001A122C"/>
    <w:rsid w:val="001A5B47"/>
    <w:rsid w:val="001B3110"/>
    <w:rsid w:val="001C5AC8"/>
    <w:rsid w:val="0020000B"/>
    <w:rsid w:val="0021061B"/>
    <w:rsid w:val="00214BDF"/>
    <w:rsid w:val="00245ACC"/>
    <w:rsid w:val="00247502"/>
    <w:rsid w:val="002573B7"/>
    <w:rsid w:val="00265F66"/>
    <w:rsid w:val="00266BDB"/>
    <w:rsid w:val="00274C96"/>
    <w:rsid w:val="002938A9"/>
    <w:rsid w:val="00297814"/>
    <w:rsid w:val="002A5798"/>
    <w:rsid w:val="002A7CD7"/>
    <w:rsid w:val="002A7D42"/>
    <w:rsid w:val="002D2794"/>
    <w:rsid w:val="002E0546"/>
    <w:rsid w:val="002E6E87"/>
    <w:rsid w:val="002F02AE"/>
    <w:rsid w:val="002F3C1D"/>
    <w:rsid w:val="002F4395"/>
    <w:rsid w:val="002F5B76"/>
    <w:rsid w:val="00304383"/>
    <w:rsid w:val="0031408E"/>
    <w:rsid w:val="0033373A"/>
    <w:rsid w:val="0034610F"/>
    <w:rsid w:val="003562E9"/>
    <w:rsid w:val="00362DA3"/>
    <w:rsid w:val="0038315E"/>
    <w:rsid w:val="00390120"/>
    <w:rsid w:val="003A0685"/>
    <w:rsid w:val="003B1997"/>
    <w:rsid w:val="003B342F"/>
    <w:rsid w:val="003C2D55"/>
    <w:rsid w:val="003D45D3"/>
    <w:rsid w:val="003D5CEB"/>
    <w:rsid w:val="00400456"/>
    <w:rsid w:val="00437681"/>
    <w:rsid w:val="00443169"/>
    <w:rsid w:val="004515BC"/>
    <w:rsid w:val="0045167A"/>
    <w:rsid w:val="004605A1"/>
    <w:rsid w:val="004634F5"/>
    <w:rsid w:val="0047287D"/>
    <w:rsid w:val="00473E69"/>
    <w:rsid w:val="004836BB"/>
    <w:rsid w:val="0048504D"/>
    <w:rsid w:val="00495E90"/>
    <w:rsid w:val="004974C5"/>
    <w:rsid w:val="004A08C2"/>
    <w:rsid w:val="004A20EF"/>
    <w:rsid w:val="004C1B94"/>
    <w:rsid w:val="004C78E9"/>
    <w:rsid w:val="004C7BC2"/>
    <w:rsid w:val="004D1FEA"/>
    <w:rsid w:val="004E3CDE"/>
    <w:rsid w:val="004E50F5"/>
    <w:rsid w:val="004F1E39"/>
    <w:rsid w:val="004F3458"/>
    <w:rsid w:val="004F4BE3"/>
    <w:rsid w:val="005041CD"/>
    <w:rsid w:val="00510884"/>
    <w:rsid w:val="00512E6D"/>
    <w:rsid w:val="00536F5E"/>
    <w:rsid w:val="00544093"/>
    <w:rsid w:val="00550E57"/>
    <w:rsid w:val="00562892"/>
    <w:rsid w:val="005655C2"/>
    <w:rsid w:val="00570D30"/>
    <w:rsid w:val="00594461"/>
    <w:rsid w:val="005B308E"/>
    <w:rsid w:val="005B3C1A"/>
    <w:rsid w:val="005C6370"/>
    <w:rsid w:val="005C676B"/>
    <w:rsid w:val="005C6908"/>
    <w:rsid w:val="005D04D8"/>
    <w:rsid w:val="005F3829"/>
    <w:rsid w:val="005F6F59"/>
    <w:rsid w:val="006057C3"/>
    <w:rsid w:val="00623929"/>
    <w:rsid w:val="006300C9"/>
    <w:rsid w:val="00644387"/>
    <w:rsid w:val="006506F7"/>
    <w:rsid w:val="0066240F"/>
    <w:rsid w:val="006707EF"/>
    <w:rsid w:val="00675E63"/>
    <w:rsid w:val="00695E8D"/>
    <w:rsid w:val="006A5B3F"/>
    <w:rsid w:val="006A6FAD"/>
    <w:rsid w:val="006B2C82"/>
    <w:rsid w:val="006B5A53"/>
    <w:rsid w:val="006D391A"/>
    <w:rsid w:val="006D39A7"/>
    <w:rsid w:val="006D3D88"/>
    <w:rsid w:val="006E1EE5"/>
    <w:rsid w:val="006F2507"/>
    <w:rsid w:val="006F5DDB"/>
    <w:rsid w:val="007119F8"/>
    <w:rsid w:val="00713065"/>
    <w:rsid w:val="0071347A"/>
    <w:rsid w:val="0071793F"/>
    <w:rsid w:val="00726376"/>
    <w:rsid w:val="00732D24"/>
    <w:rsid w:val="00745E42"/>
    <w:rsid w:val="007577CF"/>
    <w:rsid w:val="007603D3"/>
    <w:rsid w:val="007615F5"/>
    <w:rsid w:val="0076361D"/>
    <w:rsid w:val="00766F83"/>
    <w:rsid w:val="00772A8A"/>
    <w:rsid w:val="00781718"/>
    <w:rsid w:val="007907E7"/>
    <w:rsid w:val="007B02FD"/>
    <w:rsid w:val="007F1B97"/>
    <w:rsid w:val="00851604"/>
    <w:rsid w:val="00856661"/>
    <w:rsid w:val="008876C0"/>
    <w:rsid w:val="00891494"/>
    <w:rsid w:val="008A0824"/>
    <w:rsid w:val="008C29B5"/>
    <w:rsid w:val="008E2078"/>
    <w:rsid w:val="008E43E7"/>
    <w:rsid w:val="008F12BB"/>
    <w:rsid w:val="008F52B4"/>
    <w:rsid w:val="0090628E"/>
    <w:rsid w:val="009079AB"/>
    <w:rsid w:val="00907DE9"/>
    <w:rsid w:val="009112D9"/>
    <w:rsid w:val="00916FD7"/>
    <w:rsid w:val="00924435"/>
    <w:rsid w:val="00940359"/>
    <w:rsid w:val="00940BB8"/>
    <w:rsid w:val="0094352B"/>
    <w:rsid w:val="00957BDC"/>
    <w:rsid w:val="00963B1C"/>
    <w:rsid w:val="009679D3"/>
    <w:rsid w:val="00970ADD"/>
    <w:rsid w:val="00972233"/>
    <w:rsid w:val="0097475F"/>
    <w:rsid w:val="0098560B"/>
    <w:rsid w:val="009914CD"/>
    <w:rsid w:val="00996BC5"/>
    <w:rsid w:val="009C0E1C"/>
    <w:rsid w:val="009D007D"/>
    <w:rsid w:val="009F582C"/>
    <w:rsid w:val="009F61BD"/>
    <w:rsid w:val="00A02A8C"/>
    <w:rsid w:val="00A041B2"/>
    <w:rsid w:val="00A25946"/>
    <w:rsid w:val="00A36CF7"/>
    <w:rsid w:val="00A36E8E"/>
    <w:rsid w:val="00A47D67"/>
    <w:rsid w:val="00A519D9"/>
    <w:rsid w:val="00A87F98"/>
    <w:rsid w:val="00A90EE2"/>
    <w:rsid w:val="00A97B53"/>
    <w:rsid w:val="00AA2423"/>
    <w:rsid w:val="00AA25E7"/>
    <w:rsid w:val="00AB3577"/>
    <w:rsid w:val="00AC222C"/>
    <w:rsid w:val="00AC707E"/>
    <w:rsid w:val="00AE5B78"/>
    <w:rsid w:val="00AE5F4D"/>
    <w:rsid w:val="00AE7436"/>
    <w:rsid w:val="00AF1195"/>
    <w:rsid w:val="00AF1A5D"/>
    <w:rsid w:val="00AF4825"/>
    <w:rsid w:val="00B01A12"/>
    <w:rsid w:val="00B07A44"/>
    <w:rsid w:val="00B14237"/>
    <w:rsid w:val="00B149D9"/>
    <w:rsid w:val="00B4724E"/>
    <w:rsid w:val="00B62991"/>
    <w:rsid w:val="00B661F5"/>
    <w:rsid w:val="00B67C3B"/>
    <w:rsid w:val="00B75F69"/>
    <w:rsid w:val="00B85377"/>
    <w:rsid w:val="00BA019A"/>
    <w:rsid w:val="00BA1F88"/>
    <w:rsid w:val="00BA483A"/>
    <w:rsid w:val="00BC0B0F"/>
    <w:rsid w:val="00BC3F4A"/>
    <w:rsid w:val="00BC67E3"/>
    <w:rsid w:val="00BD61AC"/>
    <w:rsid w:val="00BD7B4B"/>
    <w:rsid w:val="00BE5A64"/>
    <w:rsid w:val="00BF485A"/>
    <w:rsid w:val="00C020A9"/>
    <w:rsid w:val="00C07174"/>
    <w:rsid w:val="00C07AA8"/>
    <w:rsid w:val="00C1208C"/>
    <w:rsid w:val="00C22C50"/>
    <w:rsid w:val="00C303CA"/>
    <w:rsid w:val="00C55543"/>
    <w:rsid w:val="00C66CE8"/>
    <w:rsid w:val="00C81947"/>
    <w:rsid w:val="00C90063"/>
    <w:rsid w:val="00C91CE0"/>
    <w:rsid w:val="00CC4915"/>
    <w:rsid w:val="00CD0399"/>
    <w:rsid w:val="00D01507"/>
    <w:rsid w:val="00D0354C"/>
    <w:rsid w:val="00D104E0"/>
    <w:rsid w:val="00D1435C"/>
    <w:rsid w:val="00D14A23"/>
    <w:rsid w:val="00D26B84"/>
    <w:rsid w:val="00D272EF"/>
    <w:rsid w:val="00D3777C"/>
    <w:rsid w:val="00D54EFD"/>
    <w:rsid w:val="00D679D1"/>
    <w:rsid w:val="00D87CDA"/>
    <w:rsid w:val="00DD4B45"/>
    <w:rsid w:val="00DD6BCE"/>
    <w:rsid w:val="00DE0C0E"/>
    <w:rsid w:val="00DE25F0"/>
    <w:rsid w:val="00E01F92"/>
    <w:rsid w:val="00E205F3"/>
    <w:rsid w:val="00E34815"/>
    <w:rsid w:val="00E4509A"/>
    <w:rsid w:val="00E76361"/>
    <w:rsid w:val="00ED7F6F"/>
    <w:rsid w:val="00EF0823"/>
    <w:rsid w:val="00EF2DDB"/>
    <w:rsid w:val="00EF5222"/>
    <w:rsid w:val="00EF6F71"/>
    <w:rsid w:val="00F1585E"/>
    <w:rsid w:val="00F162C1"/>
    <w:rsid w:val="00F2534E"/>
    <w:rsid w:val="00F32D81"/>
    <w:rsid w:val="00F44508"/>
    <w:rsid w:val="00F46C61"/>
    <w:rsid w:val="00F5657E"/>
    <w:rsid w:val="00F75B7F"/>
    <w:rsid w:val="00F81167"/>
    <w:rsid w:val="00F85157"/>
    <w:rsid w:val="00F9307B"/>
    <w:rsid w:val="00FA0068"/>
    <w:rsid w:val="00FB4014"/>
    <w:rsid w:val="00FC7651"/>
    <w:rsid w:val="00FD4EB5"/>
    <w:rsid w:val="00FE089C"/>
    <w:rsid w:val="00F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AF016"/>
  <w15:chartTrackingRefBased/>
  <w15:docId w15:val="{F2895041-23B2-AE46-A279-FE8D04DA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val="0"/>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8E2078"/>
    <w:pPr>
      <w:spacing w:before="360" w:after="360"/>
      <w:contextualSpacing/>
    </w:pPr>
    <w:rPr>
      <w:rFonts w:ascii="Open Sans SemiBold" w:hAnsi="Open Sans SemiBold"/>
      <w:b/>
      <w:i/>
      <w:iCs/>
      <w:color w:val="205F55" w:themeColor="accent5" w:themeShade="BF"/>
    </w:rPr>
  </w:style>
  <w:style w:type="character" w:customStyle="1" w:styleId="QuoteChar">
    <w:name w:val="Quote Char"/>
    <w:basedOn w:val="DefaultParagraphFont"/>
    <w:link w:val="Quote"/>
    <w:uiPriority w:val="29"/>
    <w:rsid w:val="008E2078"/>
    <w:rPr>
      <w:rFonts w:ascii="Open Sans SemiBold" w:eastAsia="Times New Roman" w:hAnsi="Open Sans SemiBold" w:cs="Times New Roman"/>
      <w:b/>
      <w:i/>
      <w:iCs/>
      <w:color w:val="205F55" w:themeColor="accent5" w:themeShade="BF"/>
      <w:lang w:eastAsia="en-US"/>
    </w:rPr>
  </w:style>
  <w:style w:type="paragraph" w:customStyle="1" w:styleId="CalloutforCalloutBox">
    <w:name w:val="Callout for Callout Box"/>
    <w:basedOn w:val="Normal"/>
    <w:qFormat/>
    <w:rsid w:val="004836BB"/>
    <w:pPr>
      <w:shd w:val="clear" w:color="auto" w:fill="D7E5EC" w:themeFill="accent2" w:themeFillTint="33"/>
    </w:pPr>
    <w:rPr>
      <w:rFonts w:eastAsia="Libre Baskerville"/>
      <w:i/>
      <w:iCs/>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DE25F0"/>
    <w:pPr>
      <w:widowControl w:val="0"/>
      <w:ind w:left="0"/>
    </w:pPr>
    <w:rPr>
      <w:sz w:val="18"/>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916FD7"/>
    <w:pPr>
      <w:tabs>
        <w:tab w:val="center" w:pos="4680"/>
        <w:tab w:val="right" w:pos="9360"/>
      </w:tabs>
    </w:pPr>
  </w:style>
  <w:style w:type="character" w:customStyle="1" w:styleId="HeaderChar">
    <w:name w:val="Header Char"/>
    <w:basedOn w:val="DefaultParagraphFont"/>
    <w:link w:val="Header"/>
    <w:uiPriority w:val="99"/>
    <w:rsid w:val="00916FD7"/>
    <w:rPr>
      <w:rFonts w:ascii="Open Sans" w:eastAsia="Times New Roman" w:hAnsi="Open Sans" w:cs="Times New Roman"/>
      <w:color w:val="auto"/>
      <w:lang w:eastAsia="en-US"/>
    </w:rPr>
  </w:style>
  <w:style w:type="paragraph" w:styleId="CommentText">
    <w:name w:val="annotation text"/>
    <w:basedOn w:val="FigureTitles"/>
    <w:link w:val="CommentTextChar"/>
    <w:uiPriority w:val="99"/>
    <w:unhideWhenUsed/>
    <w:rsid w:val="00B149D9"/>
    <w:rPr>
      <w:rFonts w:eastAsiaTheme="minorHAnsi" w:cs="Open Sans"/>
      <w:b w:val="0"/>
      <w:bCs w:val="0"/>
      <w:color w:val="000000"/>
      <w:sz w:val="18"/>
      <w:szCs w:val="18"/>
      <w:lang w:eastAsia="ja-JP"/>
    </w:rPr>
  </w:style>
  <w:style w:type="character" w:customStyle="1" w:styleId="CommentTextChar">
    <w:name w:val="Comment Text Char"/>
    <w:basedOn w:val="DefaultParagraphFont"/>
    <w:link w:val="CommentText"/>
    <w:uiPriority w:val="99"/>
    <w:rsid w:val="00B149D9"/>
    <w:rPr>
      <w:rFonts w:ascii="Open Sans" w:hAnsi="Open Sans" w:cs="Open Sans"/>
      <w:color w:val="000000"/>
      <w:sz w:val="18"/>
      <w:szCs w:val="18"/>
    </w:rPr>
  </w:style>
  <w:style w:type="paragraph" w:customStyle="1" w:styleId="ListBullet-SUB">
    <w:name w:val="List Bullet-SUB"/>
    <w:basedOn w:val="ListBullet"/>
    <w:qFormat/>
    <w:rsid w:val="006E1EE5"/>
    <w:pPr>
      <w:numPr>
        <w:numId w:val="77"/>
      </w:numPr>
      <w:ind w:left="2790"/>
    </w:pPr>
    <w:rPr>
      <w:i/>
    </w:rPr>
  </w:style>
  <w:style w:type="numbering" w:customStyle="1" w:styleId="CurrentList9">
    <w:name w:val="Current List9"/>
    <w:uiPriority w:val="99"/>
    <w:rsid w:val="006E1EE5"/>
    <w:pPr>
      <w:numPr>
        <w:numId w:val="78"/>
      </w:numPr>
    </w:pPr>
  </w:style>
  <w:style w:type="character" w:customStyle="1" w:styleId="cf01">
    <w:name w:val="cf01"/>
    <w:basedOn w:val="DefaultParagraphFont"/>
    <w:rsid w:val="00A87F98"/>
    <w:rPr>
      <w:rFonts w:ascii="Segoe UI" w:hAnsi="Segoe UI" w:cs="Segoe UI" w:hint="default"/>
      <w:sz w:val="18"/>
      <w:szCs w:val="18"/>
    </w:rPr>
  </w:style>
  <w:style w:type="character" w:customStyle="1" w:styleId="cf11">
    <w:name w:val="cf11"/>
    <w:basedOn w:val="DefaultParagraphFont"/>
    <w:rsid w:val="00A87F98"/>
    <w:rPr>
      <w:rFonts w:ascii="Segoe UI" w:hAnsi="Segoe UI" w:cs="Segoe UI" w:hint="default"/>
      <w:i/>
      <w:iCs/>
      <w:sz w:val="18"/>
      <w:szCs w:val="18"/>
    </w:rPr>
  </w:style>
  <w:style w:type="paragraph" w:customStyle="1" w:styleId="EndNoteBibliography">
    <w:name w:val="EndNote Bibliography"/>
    <w:basedOn w:val="Normal"/>
    <w:link w:val="EndNoteBibliographyChar"/>
    <w:rsid w:val="00A87F98"/>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A87F98"/>
    <w:rPr>
      <w:rFonts w:ascii="Calibri" w:hAnsi="Calibri" w:cs="Calibri"/>
      <w:color w:val="auto"/>
      <w:lang w:eastAsia="en-US"/>
    </w:rPr>
  </w:style>
  <w:style w:type="character" w:customStyle="1" w:styleId="cf21">
    <w:name w:val="cf21"/>
    <w:basedOn w:val="DefaultParagraphFont"/>
    <w:rsid w:val="00A87F98"/>
    <w:rPr>
      <w:rFonts w:ascii="Segoe UI" w:hAnsi="Segoe UI" w:cs="Segoe UI" w:hint="default"/>
      <w:sz w:val="18"/>
      <w:szCs w:val="18"/>
    </w:rPr>
  </w:style>
  <w:style w:type="paragraph" w:customStyle="1" w:styleId="pf0">
    <w:name w:val="pf0"/>
    <w:basedOn w:val="Normal"/>
    <w:rsid w:val="00A87F98"/>
    <w:pPr>
      <w:spacing w:before="100" w:beforeAutospacing="1" w:after="100" w:afterAutospacing="1"/>
      <w:ind w:left="0"/>
    </w:pPr>
    <w:rPr>
      <w:rFonts w:ascii="Times New Roman" w:hAnsi="Times New Roman"/>
      <w:sz w:val="24"/>
      <w:szCs w:val="24"/>
    </w:rPr>
  </w:style>
  <w:style w:type="character" w:customStyle="1" w:styleId="ui-provider">
    <w:name w:val="ui-provider"/>
    <w:basedOn w:val="DefaultParagraphFont"/>
    <w:rsid w:val="00A87F98"/>
  </w:style>
  <w:style w:type="character" w:customStyle="1" w:styleId="ref-title">
    <w:name w:val="ref-title"/>
    <w:basedOn w:val="DefaultParagraphFont"/>
    <w:rsid w:val="00A87F98"/>
  </w:style>
  <w:style w:type="character" w:customStyle="1" w:styleId="ref-journal">
    <w:name w:val="ref-journal"/>
    <w:basedOn w:val="DefaultParagraphFont"/>
    <w:rsid w:val="00A87F98"/>
  </w:style>
  <w:style w:type="character" w:customStyle="1" w:styleId="ref-vol">
    <w:name w:val="ref-vol"/>
    <w:basedOn w:val="DefaultParagraphFont"/>
    <w:rsid w:val="00A87F98"/>
  </w:style>
  <w:style w:type="character" w:customStyle="1" w:styleId="ref-iss">
    <w:name w:val="ref-iss"/>
    <w:basedOn w:val="DefaultParagraphFont"/>
    <w:rsid w:val="00A87F98"/>
  </w:style>
  <w:style w:type="paragraph" w:customStyle="1" w:styleId="textAcknowledgement">
    <w:name w:val="textAcknowledgement"/>
    <w:basedOn w:val="Normal"/>
    <w:qFormat/>
    <w:rsid w:val="00A47D67"/>
    <w:rPr>
      <w:rFonts w:cstheme="minorHAnsi"/>
      <w:bCs/>
      <w:sz w:val="20"/>
      <w:szCs w:val="20"/>
    </w:rPr>
  </w:style>
  <w:style w:type="paragraph" w:customStyle="1" w:styleId="textAcknowledgementList">
    <w:name w:val="textAcknowledgementList"/>
    <w:basedOn w:val="ListBullet"/>
    <w:qFormat/>
    <w:rsid w:val="00A47D67"/>
    <w:pPr>
      <w:numPr>
        <w:numId w:val="83"/>
      </w:numPr>
      <w:tabs>
        <w:tab w:val="num" w:pos="360"/>
      </w:tabs>
      <w:ind w:left="2520" w:hanging="270"/>
    </w:pPr>
    <w:rPr>
      <w:sz w:val="20"/>
      <w:szCs w:val="20"/>
    </w:rPr>
  </w:style>
  <w:style w:type="paragraph" w:customStyle="1" w:styleId="TableBullet">
    <w:name w:val="Table Bullet"/>
    <w:basedOn w:val="ListNumber"/>
    <w:qFormat/>
    <w:rsid w:val="000E3CF9"/>
    <w:pPr>
      <w:numPr>
        <w:numId w:val="84"/>
      </w:numPr>
    </w:pPr>
    <w:rPr>
      <w:rFonts w:eastAsia="La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315724792">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ules.fpg.unc.edu/ncic/ICTPMod9/index.html" TargetMode="External"/><Relationship Id="rId13" Type="http://schemas.openxmlformats.org/officeDocument/2006/relationships/hyperlink" Target="https://www.wsipp.wa.gov/BenefitCo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tp.fpg.unc.edu/wp-content/uploads/co-designed-support-planning-and-processe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p.fpg.unc.edu/wp-content/uploads/equity.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tp.fpg.unc.edu/wp-content/uploads/co-designed-support-planning-and-processes.docx" TargetMode="External"/><Relationship Id="rId4" Type="http://schemas.openxmlformats.org/officeDocument/2006/relationships/settings" Target="settings.xml"/><Relationship Id="rId9" Type="http://schemas.openxmlformats.org/officeDocument/2006/relationships/hyperlink" Target="https://ictp.fpg.unc.edu/wp-content/uploads/equity.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4</cp:revision>
  <dcterms:created xsi:type="dcterms:W3CDTF">2024-06-10T18:20:00Z</dcterms:created>
  <dcterms:modified xsi:type="dcterms:W3CDTF">2024-06-17T17:38:00Z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