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00BE" w14:textId="77777777" w:rsidR="00EF5421" w:rsidRPr="003C18BA" w:rsidRDefault="00EF5421" w:rsidP="00EF5421">
      <w:pPr>
        <w:pStyle w:val="Heading2"/>
        <w:spacing w:before="240"/>
      </w:pPr>
      <w:bookmarkStart w:id="0" w:name="_Toc111053472"/>
      <w:r w:rsidRPr="003C18BA">
        <w:t>Navigating the Tension of Change</w:t>
      </w:r>
      <w:bookmarkEnd w:id="0"/>
    </w:p>
    <w:p w14:paraId="2EA76D63" w14:textId="77777777" w:rsidR="00EF5421" w:rsidRPr="003C18BA" w:rsidRDefault="00EF5421" w:rsidP="00EF5421">
      <w:r w:rsidRPr="003C18BA">
        <w:t xml:space="preserve">Human service systems are dynamic, often chaotic, and constantly adapting to changing contextual factors. Turnover, changes in leadership, current priority initiatives, policy and funding changes, and other factors create natural tensions in these systems. These tensions can be exacerbated by systematic efforts to create implementation practice changes—such as </w:t>
      </w:r>
      <w:r>
        <w:t>those facilitated by</w:t>
      </w:r>
      <w:r w:rsidRPr="003C18BA">
        <w:t xml:space="preserve"> ICTP ISPs—at individual/team and organizational/system levels. For example, </w:t>
      </w:r>
      <w:r>
        <w:t>these</w:t>
      </w:r>
      <w:r w:rsidRPr="003C18BA">
        <w:t xml:space="preserve"> efforts can cause</w:t>
      </w:r>
    </w:p>
    <w:p w14:paraId="681C4C40" w14:textId="77777777" w:rsidR="00EF5421" w:rsidRPr="003C18BA" w:rsidRDefault="00EF5421" w:rsidP="00EF5421">
      <w:pPr>
        <w:pStyle w:val="ListBullet"/>
      </w:pPr>
      <w:r w:rsidRPr="003C18BA">
        <w:t xml:space="preserve">confusion in response to new and unclear terminology and role </w:t>
      </w:r>
      <w:proofErr w:type="gramStart"/>
      <w:r w:rsidRPr="003C18BA">
        <w:t>expectations;</w:t>
      </w:r>
      <w:proofErr w:type="gramEnd"/>
      <w:r w:rsidRPr="003C18BA">
        <w:t xml:space="preserve"> </w:t>
      </w:r>
    </w:p>
    <w:p w14:paraId="20A61290" w14:textId="77777777" w:rsidR="00EF5421" w:rsidRPr="003C18BA" w:rsidRDefault="00EF5421" w:rsidP="00EF5421">
      <w:pPr>
        <w:pStyle w:val="ListBullet"/>
      </w:pPr>
      <w:r w:rsidRPr="003C18BA">
        <w:t>frustration when new tasks don’t yet align with existing time</w:t>
      </w:r>
      <w:r>
        <w:t>lines</w:t>
      </w:r>
      <w:r w:rsidRPr="003C18BA">
        <w:t xml:space="preserve">, activities, or incentives; and </w:t>
      </w:r>
    </w:p>
    <w:p w14:paraId="1E22D397" w14:textId="77777777" w:rsidR="00EF5421" w:rsidRPr="003C18BA" w:rsidRDefault="00EF5421" w:rsidP="00EF5421">
      <w:pPr>
        <w:pStyle w:val="ListBullet"/>
      </w:pPr>
      <w:r w:rsidRPr="003C18BA">
        <w:t xml:space="preserve">challenges with the feasibility and appropriateness of adapting generally effective implementation practices, often identified through research or other practice environments, for the unique community and state Triple P service systems and environments in </w:t>
      </w:r>
      <w:r>
        <w:t>North Carolina</w:t>
      </w:r>
      <w:r w:rsidRPr="003C18BA">
        <w:t xml:space="preserve"> and </w:t>
      </w:r>
      <w:r>
        <w:t>South Carolina</w:t>
      </w:r>
      <w:r w:rsidRPr="003C18BA">
        <w:t>.</w:t>
      </w:r>
      <w:r>
        <w:t xml:space="preserve"> </w:t>
      </w:r>
    </w:p>
    <w:p w14:paraId="391C00F4" w14:textId="77777777" w:rsidR="00EF5421" w:rsidRPr="00661C1C" w:rsidRDefault="00EF5421" w:rsidP="00EF5421">
      <w:pPr>
        <w:rPr>
          <w:rFonts w:ascii="Libre Baskerville" w:hAnsi="Libre Baskerville"/>
          <w:highlight w:val="lightGray"/>
        </w:rPr>
      </w:pPr>
    </w:p>
    <w:p w14:paraId="025D53DB" w14:textId="77777777" w:rsidR="00EF5421" w:rsidRDefault="00EF5421" w:rsidP="00EF5421">
      <w:r w:rsidRPr="003C18BA">
        <w:t xml:space="preserve">The nature of these challenges can influence regional Triple P partners’ willingness and ability to engage in ICTP implementation support practice. When readiness for change diminishes, regional Triple P partners may return to practices that are more familiar, comfortable, and aligned with historical system approaches and incentives for program implementation and scale-up. Often, these practices are not well suited to the outcomes the systems hope to change through new program implementation and scale-up. Thus, central to the role of ICTP ISPs is helping support participants navigate the tensions inherent in complex systems while (1) facilitating their movement toward more effective implementation practices and (2) managing the tensions inherent in the change process. </w:t>
      </w:r>
    </w:p>
    <w:p w14:paraId="5166A969" w14:textId="77777777" w:rsidR="00EF5421" w:rsidRPr="003C18BA" w:rsidRDefault="00EF5421" w:rsidP="00EF5421">
      <w:r w:rsidRPr="00661C1C">
        <w:rPr>
          <w:rFonts w:ascii="Libre Baskerville" w:hAnsi="Libre Baskerville"/>
          <w:noProof/>
          <w:highlight w:val="lightGray"/>
        </w:rPr>
        <mc:AlternateContent>
          <mc:Choice Requires="wps">
            <w:drawing>
              <wp:anchor distT="0" distB="0" distL="114300" distR="114300" simplePos="0" relativeHeight="251660288" behindDoc="0" locked="0" layoutInCell="1" allowOverlap="1" wp14:anchorId="3E19AA64" wp14:editId="79AA8F66">
                <wp:simplePos x="0" y="0"/>
                <wp:positionH relativeFrom="margin">
                  <wp:posOffset>4514850</wp:posOffset>
                </wp:positionH>
                <wp:positionV relativeFrom="paragraph">
                  <wp:posOffset>128172</wp:posOffset>
                </wp:positionV>
                <wp:extent cx="2155970" cy="645795"/>
                <wp:effectExtent l="0" t="0" r="0" b="0"/>
                <wp:wrapNone/>
                <wp:docPr id="35" name="TextBox 18"/>
                <wp:cNvGraphicFramePr/>
                <a:graphic xmlns:a="http://schemas.openxmlformats.org/drawingml/2006/main">
                  <a:graphicData uri="http://schemas.microsoft.com/office/word/2010/wordprocessingShape">
                    <wps:wsp>
                      <wps:cNvSpPr txBox="1"/>
                      <wps:spPr>
                        <a:xfrm>
                          <a:off x="0" y="0"/>
                          <a:ext cx="2155970" cy="645795"/>
                        </a:xfrm>
                        <a:prstGeom prst="rect">
                          <a:avLst/>
                        </a:prstGeom>
                        <a:noFill/>
                      </wps:spPr>
                      <wps:txbx>
                        <w:txbxContent>
                          <w:p w14:paraId="2651191C" w14:textId="77777777" w:rsidR="00EF5421" w:rsidRPr="00617D07" w:rsidRDefault="00EF5421" w:rsidP="00EF5421">
                            <w:pPr>
                              <w:pStyle w:val="CommentText"/>
                              <w:rPr>
                                <w:rFonts w:ascii="Open Sans" w:hAnsi="Open Sans" w:cs="Open Sans"/>
                                <w:b/>
                                <w:bCs/>
                              </w:rPr>
                            </w:pPr>
                            <w:r w:rsidRPr="00617D07">
                              <w:rPr>
                                <w:rFonts w:ascii="Open Sans" w:hAnsi="Open Sans" w:cs="Open Sans"/>
                                <w:b/>
                                <w:bCs/>
                              </w:rPr>
                              <w:t>Complex, multifaceted practice environments</w:t>
                            </w:r>
                          </w:p>
                        </w:txbxContent>
                      </wps:txbx>
                      <wps:bodyPr wrap="square" rtlCol="0">
                        <a:spAutoFit/>
                      </wps:bodyPr>
                    </wps:wsp>
                  </a:graphicData>
                </a:graphic>
                <wp14:sizeRelH relativeFrom="margin">
                  <wp14:pctWidth>0</wp14:pctWidth>
                </wp14:sizeRelH>
              </wp:anchor>
            </w:drawing>
          </mc:Choice>
          <mc:Fallback xmlns:a="http://schemas.openxmlformats.org/drawingml/2006/main" xmlns:a16="http://schemas.microsoft.com/office/drawing/2014/main" xmlns:pic="http://schemas.openxmlformats.org/drawingml/2006/picture" xmlns:a14="http://schemas.microsoft.com/office/drawing/2010/main" xmlns:ask="http://schemas.microsoft.com/office/drawing/2018/sketchyshapes" xmlns:w16du="http://schemas.microsoft.com/office/word/2023/wordml/word16du">
            <w:pict>
              <v:shapetype id="_x0000_t202" coordsize="21600,21600" o:spt="202" path="m,l,21600r21600,l21600,xe" w14:anchorId="3E19AA64">
                <v:stroke joinstyle="miter"/>
                <v:path gradientshapeok="t" o:connecttype="rect"/>
              </v:shapetype>
              <v:shape id="TextBox 18" style="position:absolute;left:0;text-align:left;margin-left:355.5pt;margin-top:10.1pt;width:169.75pt;height:50.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">
                <v:textbox style="mso-fit-shape-to-text:t">
                  <w:txbxContent>
                    <w:p w:rsidRPr="00617D07" w:rsidR="00EF5421" w:rsidP="00EF5421" w:rsidRDefault="00EF5421" w14:paraId="2651191C" w14:textId="77777777">
                      <w:pPr>
                        <w:pStyle w:val="CommentText"/>
                        <w:rPr>
                          <w:rFonts w:ascii="Open Sans" w:hAnsi="Open Sans" w:cs="Open Sans"/>
                          <w:b/>
                          <w:bCs/>
                        </w:rPr>
                      </w:pPr>
                      <w:r w:rsidRPr="00617D07">
                        <w:rPr>
                          <w:rFonts w:ascii="Open Sans" w:hAnsi="Open Sans" w:cs="Open Sans"/>
                          <w:b/>
                          <w:bCs/>
                        </w:rPr>
                        <w:t>Complex, multifaceted practice environments</w:t>
                      </w:r>
                    </w:p>
                  </w:txbxContent>
                </v:textbox>
                <w10:wrap anchorx="margin"/>
              </v:shape>
            </w:pict>
          </mc:Fallback>
        </mc:AlternateContent>
      </w:r>
    </w:p>
    <w:p w14:paraId="6A7E0B78" w14:textId="77777777" w:rsidR="00EF5421" w:rsidRDefault="00EF5421" w:rsidP="00EF5421">
      <w:pPr>
        <w:rPr>
          <w:rFonts w:eastAsia="Libre Baskerville"/>
        </w:rPr>
      </w:pPr>
      <w:r w:rsidRPr="00661C1C">
        <w:rPr>
          <w:rFonts w:ascii="Libre Baskerville" w:hAnsi="Libre Baskerville"/>
          <w:noProof/>
          <w:highlight w:val="lightGray"/>
        </w:rPr>
        <mc:AlternateContent>
          <mc:Choice Requires="wps">
            <w:drawing>
              <wp:anchor distT="0" distB="0" distL="114300" distR="114300" simplePos="0" relativeHeight="251659264" behindDoc="0" locked="0" layoutInCell="1" allowOverlap="1" wp14:anchorId="1F4C2A6D" wp14:editId="48046081">
                <wp:simplePos x="0" y="0"/>
                <wp:positionH relativeFrom="column">
                  <wp:posOffset>1285613</wp:posOffset>
                </wp:positionH>
                <wp:positionV relativeFrom="paragraph">
                  <wp:posOffset>71353</wp:posOffset>
                </wp:positionV>
                <wp:extent cx="2474752" cy="368935"/>
                <wp:effectExtent l="0" t="0" r="0" b="0"/>
                <wp:wrapNone/>
                <wp:docPr id="36" name="TextBox 1"/>
                <wp:cNvGraphicFramePr/>
                <a:graphic xmlns:a="http://schemas.openxmlformats.org/drawingml/2006/main">
                  <a:graphicData uri="http://schemas.microsoft.com/office/word/2010/wordprocessingShape">
                    <wps:wsp>
                      <wps:cNvSpPr txBox="1"/>
                      <wps:spPr>
                        <a:xfrm>
                          <a:off x="0" y="0"/>
                          <a:ext cx="2474752" cy="368935"/>
                        </a:xfrm>
                        <a:prstGeom prst="rect">
                          <a:avLst/>
                        </a:prstGeom>
                        <a:noFill/>
                      </wps:spPr>
                      <wps:txbx>
                        <w:txbxContent>
                          <w:p w14:paraId="103CFDDF" w14:textId="77777777" w:rsidR="00EF5421" w:rsidRPr="00617D07" w:rsidRDefault="00EF5421" w:rsidP="00EF5421">
                            <w:pPr>
                              <w:pStyle w:val="CommentText"/>
                              <w:rPr>
                                <w:rFonts w:ascii="Open Sans" w:hAnsi="Open Sans" w:cs="Open Sans"/>
                                <w:b/>
                                <w:bCs/>
                              </w:rPr>
                            </w:pPr>
                            <w:r w:rsidRPr="00617D07">
                              <w:rPr>
                                <w:rFonts w:ascii="Open Sans" w:hAnsi="Open Sans" w:cs="Open Sans"/>
                                <w:b/>
                                <w:bCs/>
                              </w:rPr>
                              <w:t>Effective implementation practices</w:t>
                            </w:r>
                          </w:p>
                        </w:txbxContent>
                      </wps:txbx>
                      <wps:bodyPr wrap="square" rtlCol="0">
                        <a:spAutoFit/>
                      </wps:bodyPr>
                    </wps:wsp>
                  </a:graphicData>
                </a:graphic>
                <wp14:sizeRelH relativeFrom="margin">
                  <wp14:pctWidth>0</wp14:pctWidth>
                </wp14:sizeRelH>
              </wp:anchor>
            </w:drawing>
          </mc:Choice>
          <mc:Fallback xmlns:a="http://schemas.openxmlformats.org/drawingml/2006/main" xmlns:a16="http://schemas.microsoft.com/office/drawing/2014/main" xmlns:pic="http://schemas.openxmlformats.org/drawingml/2006/picture" xmlns:a14="http://schemas.microsoft.com/office/drawing/2010/main" xmlns:ask="http://schemas.microsoft.com/office/drawing/2018/sketchyshapes" xmlns:w16du="http://schemas.microsoft.com/office/word/2023/wordml/word16du">
            <w:pict>
              <v:shape id="TextBox 1" style="position:absolute;left:0;text-align:left;margin-left:101.25pt;margin-top:5.6pt;width:194.8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" w14:anchorId="1F4C2A6D">
                <v:textbox style="mso-fit-shape-to-text:t">
                  <w:txbxContent>
                    <w:p w:rsidRPr="00617D07" w:rsidR="00EF5421" w:rsidP="00EF5421" w:rsidRDefault="00EF5421" w14:paraId="103CFDDF" w14:textId="77777777">
                      <w:pPr>
                        <w:pStyle w:val="CommentText"/>
                        <w:rPr>
                          <w:rFonts w:ascii="Open Sans" w:hAnsi="Open Sans" w:cs="Open Sans"/>
                          <w:b/>
                          <w:bCs/>
                        </w:rPr>
                      </w:pPr>
                      <w:r w:rsidRPr="00617D07">
                        <w:rPr>
                          <w:rFonts w:ascii="Open Sans" w:hAnsi="Open Sans" w:cs="Open Sans"/>
                          <w:b/>
                          <w:bCs/>
                        </w:rPr>
                        <w:t>Effective implementation practices</w:t>
                      </w:r>
                    </w:p>
                  </w:txbxContent>
                </v:textbox>
              </v:shape>
            </w:pict>
          </mc:Fallback>
        </mc:AlternateContent>
      </w:r>
    </w:p>
    <w:p w14:paraId="008AE1C6" w14:textId="77777777" w:rsidR="00EF5421" w:rsidRDefault="00EF5421" w:rsidP="00EF5421">
      <w:pPr>
        <w:rPr>
          <w:rFonts w:eastAsia="Libre Baskerville"/>
        </w:rPr>
      </w:pPr>
    </w:p>
    <w:p w14:paraId="6B0420F9" w14:textId="77777777" w:rsidR="00EF5421" w:rsidRDefault="00EF5421" w:rsidP="00EF5421">
      <w:r w:rsidRPr="00BA58BC">
        <w:rPr>
          <w:noProof/>
          <w:highlight w:val="lightGray"/>
        </w:rPr>
        <w:drawing>
          <wp:inline distT="0" distB="0" distL="0" distR="0" wp14:anchorId="6AF70496" wp14:editId="2177D286">
            <wp:extent cx="4938958" cy="1079472"/>
            <wp:effectExtent l="0" t="0" r="1905" b="635"/>
            <wp:docPr id="1026" name="Picture 2" descr="A silhouette of two people pulling a rope&#10;&#10;Description automatically generated">
              <a:extLst xmlns:a="http://schemas.openxmlformats.org/drawingml/2006/main">
                <a:ext uri="{FF2B5EF4-FFF2-40B4-BE49-F238E27FC236}">
                  <a16:creationId xmlns:a16="http://schemas.microsoft.com/office/drawing/2014/main" id="{CB387ED9-74DF-7D61-45DF-251E8DB9D4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silhouette of two people pulling a rope&#10;&#10;Description automatically generated">
                      <a:extLst>
                        <a:ext uri="{FF2B5EF4-FFF2-40B4-BE49-F238E27FC236}">
                          <a16:creationId xmlns:a16="http://schemas.microsoft.com/office/drawing/2014/main" id="{CB387ED9-74DF-7D61-45DF-251E8DB9D4AF}"/>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Cement/>
                              </a14:imgEffect>
                            </a14:imgLayer>
                          </a14:imgProps>
                        </a:ext>
                        <a:ext uri="{28A0092B-C50C-407E-A947-70E740481C1C}">
                          <a14:useLocalDpi xmlns:a14="http://schemas.microsoft.com/office/drawing/2010/main" val="0"/>
                        </a:ext>
                      </a:extLst>
                    </a:blip>
                    <a:stretch>
                      <a:fillRect/>
                    </a:stretch>
                  </pic:blipFill>
                  <pic:spPr bwMode="auto">
                    <a:xfrm>
                      <a:off x="0" y="0"/>
                      <a:ext cx="4938958" cy="1079472"/>
                    </a:xfrm>
                    <a:prstGeom prst="rect">
                      <a:avLst/>
                    </a:prstGeom>
                    <a:noFill/>
                  </pic:spPr>
                </pic:pic>
              </a:graphicData>
            </a:graphic>
          </wp:inline>
        </w:drawing>
      </w:r>
    </w:p>
    <w:p w14:paraId="1871EB91" w14:textId="77777777" w:rsidR="00EF5421" w:rsidRDefault="00EF5421" w:rsidP="00EF5421">
      <w:pPr>
        <w:pStyle w:val="FigureTitles"/>
      </w:pPr>
    </w:p>
    <w:p w14:paraId="6566E979" w14:textId="77777777" w:rsidR="00EF5421" w:rsidRDefault="00EF5421" w:rsidP="00EF5421">
      <w:pPr>
        <w:pStyle w:val="FigureTitles"/>
      </w:pPr>
    </w:p>
    <w:p w14:paraId="3817B1F5" w14:textId="77777777" w:rsidR="00EF5421" w:rsidRPr="003C18BA" w:rsidRDefault="00EF5421" w:rsidP="00EF5421">
      <w:r w:rsidRPr="003C18BA">
        <w:t>When navigating system complexity and the tension of change, ICTP ISPs need to understand system factors that can affect implementation and program outcomes, whether for whole populations or individual community groups. These factors include</w:t>
      </w:r>
    </w:p>
    <w:p w14:paraId="0012C62B" w14:textId="77777777" w:rsidR="00EF5421" w:rsidRPr="003C18BA" w:rsidRDefault="00EF5421" w:rsidP="00EF5421">
      <w:pPr>
        <w:pStyle w:val="ListBullet"/>
      </w:pPr>
      <w:r w:rsidRPr="003C18BA">
        <w:rPr>
          <w:rFonts w:eastAsiaTheme="minorEastAsia"/>
        </w:rPr>
        <w:t xml:space="preserve">structural determinants (e.g., awareness, accessibility, resources, </w:t>
      </w:r>
      <w:r>
        <w:rPr>
          <w:rFonts w:eastAsiaTheme="minorEastAsia"/>
        </w:rPr>
        <w:t xml:space="preserve">institutional </w:t>
      </w:r>
      <w:r w:rsidRPr="003C18BA">
        <w:rPr>
          <w:rFonts w:eastAsiaTheme="minorEastAsia"/>
        </w:rPr>
        <w:t>racism</w:t>
      </w:r>
      <w:proofErr w:type="gramStart"/>
      <w:r w:rsidRPr="003C18BA">
        <w:rPr>
          <w:rFonts w:eastAsiaTheme="minorEastAsia"/>
        </w:rPr>
        <w:t>);</w:t>
      </w:r>
      <w:proofErr w:type="gramEnd"/>
    </w:p>
    <w:p w14:paraId="6B492201" w14:textId="77777777" w:rsidR="00EF5421" w:rsidRPr="003C18BA" w:rsidRDefault="00EF5421" w:rsidP="00EF5421">
      <w:pPr>
        <w:pStyle w:val="ListBullet"/>
      </w:pPr>
      <w:r w:rsidRPr="003C18BA">
        <w:t xml:space="preserve">historical and present political and policy </w:t>
      </w:r>
      <w:proofErr w:type="gramStart"/>
      <w:r w:rsidRPr="003C18BA">
        <w:t>environments;</w:t>
      </w:r>
      <w:proofErr w:type="gramEnd"/>
    </w:p>
    <w:p w14:paraId="6FAA7E04" w14:textId="77777777" w:rsidR="00EF5421" w:rsidRPr="003C18BA" w:rsidRDefault="00EF5421" w:rsidP="00EF5421">
      <w:pPr>
        <w:pStyle w:val="ListBullet"/>
      </w:pPr>
      <w:r w:rsidRPr="003C18BA">
        <w:t>leadership commitment and skill; and</w:t>
      </w:r>
    </w:p>
    <w:p w14:paraId="7AB15E74" w14:textId="77777777" w:rsidR="00EF5421" w:rsidRPr="003C18BA" w:rsidRDefault="00EF5421" w:rsidP="00EF5421">
      <w:pPr>
        <w:pStyle w:val="ListBullet"/>
      </w:pPr>
      <w:r w:rsidRPr="003C18BA">
        <w:t>ongoing engagement with the full array of co-creation partners, including those with lived experience.</w:t>
      </w:r>
    </w:p>
    <w:p w14:paraId="018183DA" w14:textId="77777777" w:rsidR="00EF5421" w:rsidRDefault="00EF5421" w:rsidP="00EF5421">
      <w:pPr>
        <w:rPr>
          <w:rFonts w:ascii="Libre Baskerville" w:hAnsi="Libre Baskerville"/>
        </w:rPr>
      </w:pPr>
    </w:p>
    <w:p w14:paraId="60ABF179" w14:textId="77777777" w:rsidR="00EF5421" w:rsidRPr="003C18BA" w:rsidRDefault="00EF5421" w:rsidP="00EF5421">
      <w:r w:rsidRPr="003C18BA">
        <w:t>Additionally, support participants need a strong understanding of</w:t>
      </w:r>
    </w:p>
    <w:p w14:paraId="3F5BA066" w14:textId="77777777" w:rsidR="00EF5421" w:rsidRPr="003C18BA" w:rsidRDefault="00EF5421" w:rsidP="00EF5421">
      <w:pPr>
        <w:pStyle w:val="ListBullet"/>
      </w:pPr>
      <w:r w:rsidRPr="003C18BA">
        <w:t xml:space="preserve">the individual, team, and system resources and abilities to facilitate change and positively impact </w:t>
      </w:r>
      <w:proofErr w:type="gramStart"/>
      <w:r w:rsidRPr="003C18BA">
        <w:t>outcomes;</w:t>
      </w:r>
      <w:proofErr w:type="gramEnd"/>
    </w:p>
    <w:p w14:paraId="39254E82" w14:textId="77777777" w:rsidR="00EF5421" w:rsidRPr="003C18BA" w:rsidRDefault="00EF5421" w:rsidP="00EF5421">
      <w:pPr>
        <w:pStyle w:val="ListBullet"/>
      </w:pPr>
      <w:r w:rsidRPr="003C18BA">
        <w:t xml:space="preserve">well-paced, iterative, stage-based approaches to implementation that make use of small tests of </w:t>
      </w:r>
      <w:proofErr w:type="gramStart"/>
      <w:r w:rsidRPr="003C18BA">
        <w:t>change;</w:t>
      </w:r>
      <w:proofErr w:type="gramEnd"/>
    </w:p>
    <w:p w14:paraId="6741A8D1" w14:textId="77777777" w:rsidR="00EF5421" w:rsidRPr="003C18BA" w:rsidRDefault="00EF5421" w:rsidP="00EF5421">
      <w:pPr>
        <w:pStyle w:val="ListBullet"/>
      </w:pPr>
      <w:r>
        <w:t>methods for collecting and using</w:t>
      </w:r>
      <w:r w:rsidRPr="003C18BA">
        <w:t xml:space="preserve"> well-sourced data and feedback for ongoing learning and communication loops; and </w:t>
      </w:r>
    </w:p>
    <w:p w14:paraId="5CF640BA" w14:textId="77777777" w:rsidR="00EF5421" w:rsidRPr="003C18BA" w:rsidRDefault="00EF5421" w:rsidP="00EF5421">
      <w:pPr>
        <w:pStyle w:val="ListBullet"/>
      </w:pPr>
      <w:r w:rsidRPr="003C18BA">
        <w:t>effective practices for recruiting, training, and supporting a community-wide Triple P delivery workforce.</w:t>
      </w:r>
    </w:p>
    <w:p w14:paraId="6E1E0180" w14:textId="77777777" w:rsidR="00EF5421" w:rsidRPr="003C18BA" w:rsidRDefault="00EF5421" w:rsidP="00EF5421">
      <w:pPr>
        <w:rPr>
          <w:rFonts w:ascii="Libre Baskerville" w:hAnsi="Libre Baskerville"/>
        </w:rPr>
      </w:pPr>
    </w:p>
    <w:p w14:paraId="102C74DA" w14:textId="77777777" w:rsidR="00EF5421" w:rsidRPr="003C18BA" w:rsidRDefault="00EF5421" w:rsidP="00EF5421">
      <w:r w:rsidRPr="003C18BA">
        <w:t>With these elements in place, ICTP ISPs and support participants can utilize strategies to mitigate the tension between system change and the tendency to remain as is. Some of these strategies include</w:t>
      </w:r>
    </w:p>
    <w:p w14:paraId="148B91A9" w14:textId="77777777" w:rsidR="00EF5421" w:rsidRPr="003C18BA" w:rsidRDefault="00EF5421" w:rsidP="030AFA50">
      <w:pPr>
        <w:pStyle w:val="ListBullet"/>
        <w:rPr>
          <w:rFonts w:eastAsiaTheme="minorEastAsia"/>
        </w:rPr>
      </w:pPr>
      <w:r>
        <w:rPr>
          <w:rFonts w:eastAsia="Libre Baskerville"/>
          <w:noProof/>
        </w:rPr>
        <mc:AlternateContent>
          <mc:Choice Requires="wps">
            <w:drawing>
              <wp:anchor distT="0" distB="0" distL="114300" distR="274320" simplePos="0" relativeHeight="251661312" behindDoc="0" locked="0" layoutInCell="1" allowOverlap="0" wp14:anchorId="0CD4250A" wp14:editId="419DB99D">
                <wp:simplePos x="0" y="0"/>
                <wp:positionH relativeFrom="column">
                  <wp:posOffset>-325755</wp:posOffset>
                </wp:positionH>
                <wp:positionV relativeFrom="paragraph">
                  <wp:posOffset>243791</wp:posOffset>
                </wp:positionV>
                <wp:extent cx="1338580" cy="2268220"/>
                <wp:effectExtent l="0" t="0" r="7620" b="17780"/>
                <wp:wrapThrough wrapText="right">
                  <wp:wrapPolygon edited="0">
                    <wp:start x="0" y="0"/>
                    <wp:lineTo x="0" y="21648"/>
                    <wp:lineTo x="19059" y="21648"/>
                    <wp:lineTo x="19059" y="11610"/>
                    <wp:lineTo x="21518" y="11006"/>
                    <wp:lineTo x="21518" y="10764"/>
                    <wp:lineTo x="19059" y="9675"/>
                    <wp:lineTo x="19059" y="0"/>
                    <wp:lineTo x="0" y="0"/>
                  </wp:wrapPolygon>
                </wp:wrapThrough>
                <wp:docPr id="1053764473" name="Rectangle 3"/>
                <wp:cNvGraphicFramePr/>
                <a:graphic xmlns:a="http://schemas.openxmlformats.org/drawingml/2006/main">
                  <a:graphicData uri="http://schemas.microsoft.com/office/word/2010/wordprocessingShape">
                    <wps:wsp>
                      <wps:cNvSpPr/>
                      <wps:spPr>
                        <a:xfrm>
                          <a:off x="0" y="0"/>
                          <a:ext cx="1338580" cy="226822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0EE41E6B" w14:textId="77777777" w:rsidR="00EF5421" w:rsidRDefault="00EF5421" w:rsidP="00EF5421">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PRINCIPLES IN</w:t>
                            </w:r>
                            <w:r w:rsidRPr="003B6635">
                              <w:rPr>
                                <w:color w:val="000000" w:themeColor="text1"/>
                                <w:sz w:val="16"/>
                                <w:szCs w:val="16"/>
                                <w14:textOutline w14:w="12700" w14:cap="rnd" w14:cmpd="sng" w14:algn="ctr">
                                  <w14:noFill/>
                                  <w14:prstDash w14:val="solid"/>
                                  <w14:bevel/>
                                </w14:textOutline>
                              </w:rPr>
                              <w:t xml:space="preserve"> ACTION</w:t>
                            </w:r>
                          </w:p>
                          <w:p w14:paraId="606FB082" w14:textId="77777777" w:rsidR="00EF5421" w:rsidRPr="003B6635" w:rsidRDefault="00EF5421" w:rsidP="00EF5421">
                            <w:pPr>
                              <w:pStyle w:val="FigureTitles"/>
                              <w:jc w:val="center"/>
                              <w:rPr>
                                <w:color w:val="000000" w:themeColor="text1"/>
                                <w:sz w:val="16"/>
                                <w:szCs w:val="16"/>
                                <w14:textOutline w14:w="12700" w14:cap="rnd" w14:cmpd="sng" w14:algn="ctr">
                                  <w14:noFill/>
                                  <w14:prstDash w14:val="solid"/>
                                  <w14:bevel/>
                                </w14:textOutline>
                              </w:rPr>
                            </w:pPr>
                          </w:p>
                          <w:p w14:paraId="37D34990" w14:textId="0A989D3A" w:rsidR="00EF5421" w:rsidRDefault="00EF5421" w:rsidP="00EF5421">
                            <w:pPr>
                              <w:pStyle w:val="FigureTitles"/>
                              <w:rPr>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 the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0" w:history="1">
                              <w:r w:rsidRPr="00D71F1B">
                                <w:rPr>
                                  <w:rStyle w:val="Hyperlink"/>
                                  <w:sz w:val="16"/>
                                  <w:szCs w:val="16"/>
                                  <w14:textOutline w14:w="12700" w14:cap="rnd" w14:cmpd="sng" w14:algn="ctr">
                                    <w14:noFill/>
                                    <w14:prstDash w14:val="solid"/>
                                    <w14:bevel/>
                                  </w14:textOutline>
                                </w:rPr>
                                <w:t xml:space="preserve">Practice Principles in </w:t>
                              </w:r>
                              <w:r>
                                <w:rPr>
                                  <w:rStyle w:val="Hyperlink"/>
                                  <w:sz w:val="16"/>
                                  <w:szCs w:val="16"/>
                                  <w14:textOutline w14:w="12700" w14:cap="rnd" w14:cmpd="sng" w14:algn="ctr">
                                    <w14:noFill/>
                                    <w14:prstDash w14:val="solid"/>
                                    <w14:bevel/>
                                  </w14:textOutline>
                                </w:rPr>
                                <w:t>A</w:t>
                              </w:r>
                              <w:r w:rsidRPr="00D71F1B">
                                <w:rPr>
                                  <w:rStyle w:val="Hyperlink"/>
                                  <w:sz w:val="16"/>
                                  <w:szCs w:val="16"/>
                                  <w14:textOutline w14:w="12700" w14:cap="rnd" w14:cmpd="sng" w14:algn="ctr">
                                    <w14:noFill/>
                                    <w14:prstDash w14:val="solid"/>
                                    <w14:bevel/>
                                  </w14:textOutline>
                                </w:rPr>
                                <w:t>ction</w:t>
                              </w:r>
                            </w:hyperlink>
                            <w:r>
                              <w:rPr>
                                <w:rStyle w:val="Hyperlink"/>
                                <w:sz w:val="16"/>
                                <w:szCs w:val="16"/>
                                <w14:textOutline w14:w="12700" w14:cap="rnd" w14:cmpd="sng" w14:algn="ctr">
                                  <w14:noFill/>
                                  <w14:prstDash w14:val="solid"/>
                                  <w14:bevel/>
                                </w14:textOutline>
                              </w:rPr>
                              <w:t xml:space="preserve"> </w:t>
                            </w:r>
                            <w:r w:rsidRPr="003E4B97">
                              <w:rPr>
                                <w:rStyle w:val="Hyperlink"/>
                                <w:b w:val="0"/>
                                <w:bCs w:val="0"/>
                                <w:color w:val="000000" w:themeColor="text1"/>
                                <w:sz w:val="16"/>
                                <w:szCs w:val="16"/>
                                <w:u w:val="none"/>
                                <w14:textOutline w14:w="12700" w14:cap="rnd" w14:cmpd="sng" w14:algn="ctr">
                                  <w14:noFill/>
                                  <w14:prstDash w14:val="solid"/>
                                  <w14:bevel/>
                                </w14:textOutline>
                              </w:rPr>
                              <w:t>for more information:</w:t>
                            </w:r>
                            <w:r w:rsidRPr="003E4B97">
                              <w:rPr>
                                <w:rStyle w:val="Hyperlink"/>
                                <w:color w:val="000000" w:themeColor="text1"/>
                                <w:sz w:val="16"/>
                                <w:szCs w:val="16"/>
                                <w14:textOutline w14:w="12700" w14:cap="rnd" w14:cmpd="sng" w14:algn="ctr">
                                  <w14:noFill/>
                                  <w14:prstDash w14:val="solid"/>
                                  <w14:bevel/>
                                </w14:textOutline>
                              </w:rPr>
                              <w:t xml:space="preserve"> </w:t>
                            </w:r>
                          </w:p>
                          <w:p w14:paraId="3FB9E717" w14:textId="77777777" w:rsidR="00EF5421" w:rsidRPr="00AD7DF5" w:rsidRDefault="00EF5421" w:rsidP="00EF5421">
                            <w:pPr>
                              <w:pStyle w:val="FigureTitles"/>
                              <w:numPr>
                                <w:ilvl w:val="0"/>
                                <w:numId w:val="7"/>
                              </w:numPr>
                              <w:ind w:left="270" w:hanging="180"/>
                              <w:rPr>
                                <w:b w:val="0"/>
                                <w:bCs w:val="0"/>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 xml:space="preserve">Adaptive Leadership </w:t>
                            </w:r>
                          </w:p>
                          <w:p w14:paraId="59E325A9" w14:textId="77777777" w:rsidR="00EF5421" w:rsidRPr="00AD7DF5" w:rsidRDefault="00EF5421" w:rsidP="00EF5421">
                            <w:pPr>
                              <w:pStyle w:val="FigureTitles"/>
                              <w:numPr>
                                <w:ilvl w:val="0"/>
                                <w:numId w:val="7"/>
                              </w:numPr>
                              <w:ind w:left="270" w:hanging="180"/>
                              <w:rPr>
                                <w:b w:val="0"/>
                                <w:bCs w:val="0"/>
                                <w:color w:val="000000" w:themeColor="text1"/>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Co-Creation</w:t>
                            </w:r>
                            <w:r w:rsidRPr="00AD7DF5">
                              <w:rPr>
                                <w:b w:val="0"/>
                                <w:bCs w:val="0"/>
                                <w:color w:val="000000" w:themeColor="text1"/>
                                <w:sz w:val="16"/>
                                <w:szCs w:val="16"/>
                                <w14:textOutline w14:w="12700" w14:cap="rnd" w14:cmpd="sng" w14:algn="ctr">
                                  <w14:noFill/>
                                  <w14:prstDash w14:val="solid"/>
                                  <w14:bevel/>
                                </w14:textOutline>
                              </w:rPr>
                              <w:t xml:space="preserve"> </w:t>
                            </w:r>
                          </w:p>
                          <w:p w14:paraId="7A28A918" w14:textId="77777777" w:rsidR="00EF5421" w:rsidRPr="00AD7DF5" w:rsidRDefault="00EF5421" w:rsidP="00EF5421">
                            <w:pPr>
                              <w:pStyle w:val="FigureTitles"/>
                              <w:numPr>
                                <w:ilvl w:val="0"/>
                                <w:numId w:val="7"/>
                              </w:numPr>
                              <w:ind w:left="270" w:hanging="180"/>
                              <w:rPr>
                                <w:sz w:val="16"/>
                                <w:szCs w:val="16"/>
                                <w14:textOutline w14:w="12700" w14:cap="rnd" w14:cmpd="sng" w14:algn="ctr">
                                  <w14:noFill/>
                                  <w14:prstDash w14:val="solid"/>
                                  <w14:bevel/>
                                </w14:textOutline>
                              </w:rPr>
                            </w:pPr>
                            <w:r w:rsidRPr="00AD7DF5">
                              <w:rPr>
                                <w:b w:val="0"/>
                                <w:bCs w:val="0"/>
                                <w:color w:val="000000" w:themeColor="text1"/>
                                <w:sz w:val="16"/>
                                <w:szCs w:val="16"/>
                                <w14:textOutline w14:w="12700" w14:cap="rnd" w14:cmpd="sng" w14:algn="ctr">
                                  <w14:noFill/>
                                  <w14:prstDash w14:val="solid"/>
                                  <w14:bevel/>
                                </w14:textOutline>
                              </w:rPr>
                              <w:t>Iterative</w:t>
                            </w:r>
                            <w:r>
                              <w:rPr>
                                <w:b w:val="0"/>
                                <w:bCs w:val="0"/>
                                <w:color w:val="000000" w:themeColor="text1"/>
                                <w:sz w:val="16"/>
                                <w:szCs w:val="16"/>
                                <w14:textOutline w14:w="12700" w14:cap="rnd" w14:cmpd="sng" w14:algn="ctr">
                                  <w14:noFill/>
                                  <w14:prstDash w14:val="solid"/>
                                  <w14:bevel/>
                                </w14:textOutline>
                              </w:rPr>
                              <w:t xml:space="preserve">, </w:t>
                            </w:r>
                            <w:r w:rsidRPr="00AD7DF5">
                              <w:rPr>
                                <w:b w:val="0"/>
                                <w:bCs w:val="0"/>
                                <w:color w:val="000000" w:themeColor="text1"/>
                                <w:sz w:val="16"/>
                                <w:szCs w:val="16"/>
                                <w14:textOutline w14:w="12700" w14:cap="rnd" w14:cmpd="sng" w14:algn="ctr">
                                  <w14:noFill/>
                                  <w14:prstDash w14:val="solid"/>
                                  <w14:bevel/>
                                </w14:textOutline>
                              </w:rPr>
                              <w:t>Stage-based Approach</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D4250A" id="Rectangle 3" o:spid="_x0000_s1028" style="position:absolute;left:0;text-align:left;margin-left:-25.65pt;margin-top:19.2pt;width:105.4pt;height:178.6pt;z-index:25166131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" o:allowoverlap="f" adj="-11796480,,5400" path="m,l1142500,r,1780223l1318736,1780223r,l1142500,1780223r,1780222l,3560445,,xe" filled="f" strokecolor="#9f396b" strokeweight="1pt">
                <v:stroke joinstyle="miter"/>
                <v:formulas/>
                <v:path arrowok="t" o:connecttype="custom" o:connectlocs="0,0;1159692,0;1159692,1134110;1338580,1134110;1338580,1134110;1159692,1134110;1159692,2268220;0,2268220;0,0" o:connectangles="0,0,0,0,0,0,0,0,0" textboxrect="0,0,1318736,3560445"/>
                <v:textbox inset=",7.2pt,21.6pt,0">
                  <w:txbxContent>
                    <w:p w14:paraId="0EE41E6B" w14:textId="77777777" w:rsidR="00EF5421" w:rsidRDefault="00EF5421" w:rsidP="00EF5421">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PRINCIPLES IN</w:t>
                      </w:r>
                      <w:r w:rsidRPr="003B6635">
                        <w:rPr>
                          <w:color w:val="000000" w:themeColor="text1"/>
                          <w:sz w:val="16"/>
                          <w:szCs w:val="16"/>
                          <w14:textOutline w14:w="12700" w14:cap="rnd" w14:cmpd="sng" w14:algn="ctr">
                            <w14:noFill/>
                            <w14:prstDash w14:val="solid"/>
                            <w14:bevel/>
                          </w14:textOutline>
                        </w:rPr>
                        <w:t xml:space="preserve"> ACTION</w:t>
                      </w:r>
                    </w:p>
                    <w:p w14:paraId="606FB082" w14:textId="77777777" w:rsidR="00EF5421" w:rsidRPr="003B6635" w:rsidRDefault="00EF5421" w:rsidP="00EF5421">
                      <w:pPr>
                        <w:pStyle w:val="FigureTitles"/>
                        <w:jc w:val="center"/>
                        <w:rPr>
                          <w:color w:val="000000" w:themeColor="text1"/>
                          <w:sz w:val="16"/>
                          <w:szCs w:val="16"/>
                          <w14:textOutline w14:w="12700" w14:cap="rnd" w14:cmpd="sng" w14:algn="ctr">
                            <w14:noFill/>
                            <w14:prstDash w14:val="solid"/>
                            <w14:bevel/>
                          </w14:textOutline>
                        </w:rPr>
                      </w:pPr>
                    </w:p>
                    <w:p w14:paraId="37D34990" w14:textId="0A989D3A" w:rsidR="00EF5421" w:rsidRDefault="00EF5421" w:rsidP="00EF5421">
                      <w:pPr>
                        <w:pStyle w:val="FigureTitles"/>
                        <w:rPr>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 the s</w:t>
                      </w:r>
                      <w:r w:rsidRPr="003B6635">
                        <w:rPr>
                          <w:b w:val="0"/>
                          <w:bCs w:val="0"/>
                          <w:color w:val="000000" w:themeColor="text1"/>
                          <w:sz w:val="16"/>
                          <w:szCs w:val="16"/>
                          <w14:textOutline w14:w="12700" w14:cap="rnd" w14:cmpd="sng" w14:algn="ctr">
                            <w14:noFill/>
                            <w14:prstDash w14:val="solid"/>
                            <w14:bevel/>
                          </w14:textOutline>
                        </w:rPr>
                        <w:t xml:space="preserve">ection </w:t>
                      </w:r>
                      <w:hyperlink r:id="rId11" w:history="1">
                        <w:r w:rsidRPr="00D71F1B">
                          <w:rPr>
                            <w:rStyle w:val="Hyperlink"/>
                            <w:sz w:val="16"/>
                            <w:szCs w:val="16"/>
                            <w14:textOutline w14:w="12700" w14:cap="rnd" w14:cmpd="sng" w14:algn="ctr">
                              <w14:noFill/>
                              <w14:prstDash w14:val="solid"/>
                              <w14:bevel/>
                            </w14:textOutline>
                          </w:rPr>
                          <w:t xml:space="preserve">Practice Principles in </w:t>
                        </w:r>
                        <w:r>
                          <w:rPr>
                            <w:rStyle w:val="Hyperlink"/>
                            <w:sz w:val="16"/>
                            <w:szCs w:val="16"/>
                            <w14:textOutline w14:w="12700" w14:cap="rnd" w14:cmpd="sng" w14:algn="ctr">
                              <w14:noFill/>
                              <w14:prstDash w14:val="solid"/>
                              <w14:bevel/>
                            </w14:textOutline>
                          </w:rPr>
                          <w:t>A</w:t>
                        </w:r>
                        <w:r w:rsidRPr="00D71F1B">
                          <w:rPr>
                            <w:rStyle w:val="Hyperlink"/>
                            <w:sz w:val="16"/>
                            <w:szCs w:val="16"/>
                            <w14:textOutline w14:w="12700" w14:cap="rnd" w14:cmpd="sng" w14:algn="ctr">
                              <w14:noFill/>
                              <w14:prstDash w14:val="solid"/>
                              <w14:bevel/>
                            </w14:textOutline>
                          </w:rPr>
                          <w:t>ction</w:t>
                        </w:r>
                      </w:hyperlink>
                      <w:r>
                        <w:rPr>
                          <w:rStyle w:val="Hyperlink"/>
                          <w:sz w:val="16"/>
                          <w:szCs w:val="16"/>
                          <w14:textOutline w14:w="12700" w14:cap="rnd" w14:cmpd="sng" w14:algn="ctr">
                            <w14:noFill/>
                            <w14:prstDash w14:val="solid"/>
                            <w14:bevel/>
                          </w14:textOutline>
                        </w:rPr>
                        <w:t xml:space="preserve"> </w:t>
                      </w:r>
                      <w:r w:rsidRPr="003E4B97">
                        <w:rPr>
                          <w:rStyle w:val="Hyperlink"/>
                          <w:b w:val="0"/>
                          <w:bCs w:val="0"/>
                          <w:color w:val="000000" w:themeColor="text1"/>
                          <w:sz w:val="16"/>
                          <w:szCs w:val="16"/>
                          <w:u w:val="none"/>
                          <w14:textOutline w14:w="12700" w14:cap="rnd" w14:cmpd="sng" w14:algn="ctr">
                            <w14:noFill/>
                            <w14:prstDash w14:val="solid"/>
                            <w14:bevel/>
                          </w14:textOutline>
                        </w:rPr>
                        <w:t>for more information:</w:t>
                      </w:r>
                      <w:r w:rsidRPr="003E4B97">
                        <w:rPr>
                          <w:rStyle w:val="Hyperlink"/>
                          <w:color w:val="000000" w:themeColor="text1"/>
                          <w:sz w:val="16"/>
                          <w:szCs w:val="16"/>
                          <w14:textOutline w14:w="12700" w14:cap="rnd" w14:cmpd="sng" w14:algn="ctr">
                            <w14:noFill/>
                            <w14:prstDash w14:val="solid"/>
                            <w14:bevel/>
                          </w14:textOutline>
                        </w:rPr>
                        <w:t xml:space="preserve"> </w:t>
                      </w:r>
                    </w:p>
                    <w:p w14:paraId="3FB9E717" w14:textId="77777777" w:rsidR="00EF5421" w:rsidRPr="00AD7DF5" w:rsidRDefault="00EF5421" w:rsidP="00EF5421">
                      <w:pPr>
                        <w:pStyle w:val="FigureTitles"/>
                        <w:numPr>
                          <w:ilvl w:val="0"/>
                          <w:numId w:val="7"/>
                        </w:numPr>
                        <w:ind w:left="270" w:hanging="180"/>
                        <w:rPr>
                          <w:b w:val="0"/>
                          <w:bCs w:val="0"/>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 xml:space="preserve">Adaptive Leadership </w:t>
                      </w:r>
                    </w:p>
                    <w:p w14:paraId="59E325A9" w14:textId="77777777" w:rsidR="00EF5421" w:rsidRPr="00AD7DF5" w:rsidRDefault="00EF5421" w:rsidP="00EF5421">
                      <w:pPr>
                        <w:pStyle w:val="FigureTitles"/>
                        <w:numPr>
                          <w:ilvl w:val="0"/>
                          <w:numId w:val="7"/>
                        </w:numPr>
                        <w:ind w:left="270" w:hanging="180"/>
                        <w:rPr>
                          <w:b w:val="0"/>
                          <w:bCs w:val="0"/>
                          <w:color w:val="000000" w:themeColor="text1"/>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Co-Creation</w:t>
                      </w:r>
                      <w:r w:rsidRPr="00AD7DF5">
                        <w:rPr>
                          <w:b w:val="0"/>
                          <w:bCs w:val="0"/>
                          <w:color w:val="000000" w:themeColor="text1"/>
                          <w:sz w:val="16"/>
                          <w:szCs w:val="16"/>
                          <w14:textOutline w14:w="12700" w14:cap="rnd" w14:cmpd="sng" w14:algn="ctr">
                            <w14:noFill/>
                            <w14:prstDash w14:val="solid"/>
                            <w14:bevel/>
                          </w14:textOutline>
                        </w:rPr>
                        <w:t xml:space="preserve"> </w:t>
                      </w:r>
                    </w:p>
                    <w:p w14:paraId="7A28A918" w14:textId="77777777" w:rsidR="00EF5421" w:rsidRPr="00AD7DF5" w:rsidRDefault="00EF5421" w:rsidP="00EF5421">
                      <w:pPr>
                        <w:pStyle w:val="FigureTitles"/>
                        <w:numPr>
                          <w:ilvl w:val="0"/>
                          <w:numId w:val="7"/>
                        </w:numPr>
                        <w:ind w:left="270" w:hanging="180"/>
                        <w:rPr>
                          <w:sz w:val="16"/>
                          <w:szCs w:val="16"/>
                          <w14:textOutline w14:w="12700" w14:cap="rnd" w14:cmpd="sng" w14:algn="ctr">
                            <w14:noFill/>
                            <w14:prstDash w14:val="solid"/>
                            <w14:bevel/>
                          </w14:textOutline>
                        </w:rPr>
                      </w:pPr>
                      <w:r w:rsidRPr="00AD7DF5">
                        <w:rPr>
                          <w:b w:val="0"/>
                          <w:bCs w:val="0"/>
                          <w:color w:val="000000" w:themeColor="text1"/>
                          <w:sz w:val="16"/>
                          <w:szCs w:val="16"/>
                          <w14:textOutline w14:w="12700" w14:cap="rnd" w14:cmpd="sng" w14:algn="ctr">
                            <w14:noFill/>
                            <w14:prstDash w14:val="solid"/>
                            <w14:bevel/>
                          </w14:textOutline>
                        </w:rPr>
                        <w:t>Iterative</w:t>
                      </w:r>
                      <w:r>
                        <w:rPr>
                          <w:b w:val="0"/>
                          <w:bCs w:val="0"/>
                          <w:color w:val="000000" w:themeColor="text1"/>
                          <w:sz w:val="16"/>
                          <w:szCs w:val="16"/>
                          <w14:textOutline w14:w="12700" w14:cap="rnd" w14:cmpd="sng" w14:algn="ctr">
                            <w14:noFill/>
                            <w14:prstDash w14:val="solid"/>
                            <w14:bevel/>
                          </w14:textOutline>
                        </w:rPr>
                        <w:t xml:space="preserve">, </w:t>
                      </w:r>
                      <w:r w:rsidRPr="00AD7DF5">
                        <w:rPr>
                          <w:b w:val="0"/>
                          <w:bCs w:val="0"/>
                          <w:color w:val="000000" w:themeColor="text1"/>
                          <w:sz w:val="16"/>
                          <w:szCs w:val="16"/>
                          <w14:textOutline w14:w="12700" w14:cap="rnd" w14:cmpd="sng" w14:algn="ctr">
                            <w14:noFill/>
                            <w14:prstDash w14:val="solid"/>
                            <w14:bevel/>
                          </w14:textOutline>
                        </w:rPr>
                        <w:t>Stage-based Approach</w:t>
                      </w:r>
                    </w:p>
                  </w:txbxContent>
                </v:textbox>
                <w10:wrap type="through" side="right"/>
              </v:shape>
            </w:pict>
          </mc:Fallback>
        </mc:AlternateContent>
      </w:r>
      <w:r w:rsidRPr="030AFA50">
        <w:rPr>
          <w:rFonts w:eastAsiaTheme="minorEastAsia"/>
        </w:rPr>
        <w:t xml:space="preserve">establishing common ground by leaning on the power of collaborative working </w:t>
      </w:r>
      <w:proofErr w:type="gramStart"/>
      <w:r w:rsidRPr="030AFA50">
        <w:rPr>
          <w:rFonts w:eastAsiaTheme="minorEastAsia"/>
        </w:rPr>
        <w:t>relationships;</w:t>
      </w:r>
      <w:proofErr w:type="gramEnd"/>
    </w:p>
    <w:p w14:paraId="495FB84A" w14:textId="77777777" w:rsidR="00EF5421" w:rsidRPr="003C18BA" w:rsidRDefault="00EF5421" w:rsidP="00EF5421">
      <w:pPr>
        <w:pStyle w:val="ListBullet"/>
      </w:pPr>
      <w:r w:rsidRPr="003C18BA">
        <w:t xml:space="preserve">ensuring that change processes are equitable, broad system partners are engaged, and power differentials are identified and appropriately </w:t>
      </w:r>
      <w:proofErr w:type="gramStart"/>
      <w:r w:rsidRPr="003C18BA">
        <w:t>addressed;</w:t>
      </w:r>
      <w:proofErr w:type="gramEnd"/>
    </w:p>
    <w:p w14:paraId="782DDC0D" w14:textId="77777777" w:rsidR="00EF5421" w:rsidRPr="003C18BA" w:rsidRDefault="00EF5421" w:rsidP="00EF5421">
      <w:pPr>
        <w:pStyle w:val="ListBullet"/>
      </w:pPr>
      <w:r w:rsidRPr="003C18BA">
        <w:rPr>
          <w:rFonts w:eastAsiaTheme="minorEastAsia"/>
        </w:rPr>
        <w:t xml:space="preserve">modeling and reinforcing </w:t>
      </w:r>
      <w:r w:rsidRPr="00D71F1B">
        <w:rPr>
          <w:rFonts w:eastAsiaTheme="minorEastAsia"/>
          <w:shd w:val="clear" w:color="auto" w:fill="EEF6FA"/>
        </w:rPr>
        <w:t xml:space="preserve">adaptive leadership </w:t>
      </w:r>
      <w:proofErr w:type="gramStart"/>
      <w:r w:rsidRPr="00D71F1B">
        <w:rPr>
          <w:rFonts w:eastAsiaTheme="minorEastAsia"/>
          <w:shd w:val="clear" w:color="auto" w:fill="EEF6FA"/>
        </w:rPr>
        <w:t>strategies</w:t>
      </w:r>
      <w:r w:rsidRPr="003C18BA">
        <w:rPr>
          <w:rFonts w:eastAsiaTheme="minorEastAsia"/>
        </w:rPr>
        <w:t>;</w:t>
      </w:r>
      <w:proofErr w:type="gramEnd"/>
      <w:r w:rsidRPr="003C18BA">
        <w:rPr>
          <w:rFonts w:eastAsiaTheme="minorEastAsia"/>
        </w:rPr>
        <w:t xml:space="preserve"> </w:t>
      </w:r>
    </w:p>
    <w:p w14:paraId="125FD184" w14:textId="77777777" w:rsidR="00EF5421" w:rsidRPr="003C18BA" w:rsidRDefault="00EF5421" w:rsidP="00EF5421">
      <w:pPr>
        <w:pStyle w:val="ListBullet"/>
      </w:pPr>
      <w:r w:rsidRPr="00D71F1B">
        <w:rPr>
          <w:rFonts w:eastAsiaTheme="minorEastAsia"/>
          <w:shd w:val="clear" w:color="auto" w:fill="EEF6FA"/>
        </w:rPr>
        <w:t>co-designing</w:t>
      </w:r>
      <w:r w:rsidRPr="003C18BA">
        <w:rPr>
          <w:rFonts w:eastAsiaTheme="minorEastAsia"/>
        </w:rPr>
        <w:t xml:space="preserve"> implementation support </w:t>
      </w:r>
      <w:proofErr w:type="gramStart"/>
      <w:r w:rsidRPr="003C18BA">
        <w:rPr>
          <w:rFonts w:eastAsiaTheme="minorEastAsia"/>
        </w:rPr>
        <w:t>activities;</w:t>
      </w:r>
      <w:proofErr w:type="gramEnd"/>
    </w:p>
    <w:p w14:paraId="00F572EC" w14:textId="77777777" w:rsidR="00EF5421" w:rsidRPr="003C18BA" w:rsidRDefault="00EF5421" w:rsidP="00EF5421">
      <w:pPr>
        <w:pStyle w:val="ListBullet"/>
      </w:pPr>
      <w:r w:rsidRPr="003C18BA">
        <w:rPr>
          <w:rFonts w:eastAsiaTheme="minorEastAsia"/>
        </w:rPr>
        <w:t xml:space="preserve">ensuring that community Triple P processes and outcomes are co-created with regional and state </w:t>
      </w:r>
      <w:proofErr w:type="gramStart"/>
      <w:r w:rsidRPr="003C18BA">
        <w:rPr>
          <w:rFonts w:eastAsiaTheme="minorEastAsia"/>
        </w:rPr>
        <w:t>partners;</w:t>
      </w:r>
      <w:proofErr w:type="gramEnd"/>
    </w:p>
    <w:p w14:paraId="63468386" w14:textId="77777777" w:rsidR="00EF5421" w:rsidRPr="003C18BA" w:rsidRDefault="00EF5421" w:rsidP="00EF5421">
      <w:pPr>
        <w:pStyle w:val="ListBullet"/>
      </w:pPr>
      <w:r w:rsidRPr="003C18BA">
        <w:rPr>
          <w:rFonts w:eastAsiaTheme="minorEastAsia"/>
        </w:rPr>
        <w:t xml:space="preserve">utilizing </w:t>
      </w:r>
      <w:r w:rsidRPr="00D71F1B">
        <w:rPr>
          <w:rFonts w:eastAsiaTheme="minorEastAsia"/>
          <w:shd w:val="clear" w:color="auto" w:fill="EEF6FA"/>
        </w:rPr>
        <w:t>iterative, stage-based support approaches</w:t>
      </w:r>
      <w:r w:rsidRPr="003C18BA">
        <w:rPr>
          <w:rFonts w:eastAsiaTheme="minorEastAsia"/>
        </w:rPr>
        <w:t xml:space="preserve"> reflecting well-paced and repeated inquiries, actions, and adjustments within the support process</w:t>
      </w:r>
      <w:r w:rsidRPr="003C18BA">
        <w:t>; and</w:t>
      </w:r>
    </w:p>
    <w:p w14:paraId="2330A9F0" w14:textId="77777777" w:rsidR="00EF5421" w:rsidRPr="003C18BA" w:rsidRDefault="00EF5421" w:rsidP="00EF5421">
      <w:pPr>
        <w:pStyle w:val="ListBullet"/>
      </w:pPr>
      <w:r w:rsidRPr="003C18BA">
        <w:rPr>
          <w:rFonts w:eastAsiaTheme="minorEastAsia"/>
        </w:rPr>
        <w:t>collecting and using mixed-methods data to</w:t>
      </w:r>
    </w:p>
    <w:p w14:paraId="1CF41D9A" w14:textId="77777777" w:rsidR="00EF5421" w:rsidRPr="003C18BA" w:rsidRDefault="00EF5421" w:rsidP="00EF5421">
      <w:pPr>
        <w:pStyle w:val="ListBullet"/>
        <w:numPr>
          <w:ilvl w:val="0"/>
          <w:numId w:val="6"/>
        </w:numPr>
        <w:ind w:left="2790"/>
      </w:pPr>
      <w:r w:rsidRPr="003C18BA">
        <w:rPr>
          <w:rFonts w:eastAsiaTheme="minorEastAsia"/>
        </w:rPr>
        <w:t>better define local needs and system challenges,</w:t>
      </w:r>
    </w:p>
    <w:p w14:paraId="5C206660" w14:textId="77777777" w:rsidR="00EF5421" w:rsidRPr="003C18BA" w:rsidRDefault="00EF5421" w:rsidP="00EF5421">
      <w:pPr>
        <w:pStyle w:val="ListBullet"/>
        <w:numPr>
          <w:ilvl w:val="0"/>
          <w:numId w:val="6"/>
        </w:numPr>
        <w:ind w:left="2790"/>
      </w:pPr>
      <w:r w:rsidRPr="003C18BA">
        <w:rPr>
          <w:rFonts w:eastAsiaTheme="minorEastAsia"/>
        </w:rPr>
        <w:t>plan tailored support strategies,</w:t>
      </w:r>
    </w:p>
    <w:p w14:paraId="62044B03" w14:textId="77777777" w:rsidR="00EF5421" w:rsidRPr="003C18BA" w:rsidRDefault="00EF5421" w:rsidP="00EF5421">
      <w:pPr>
        <w:pStyle w:val="ListBullet"/>
        <w:numPr>
          <w:ilvl w:val="0"/>
          <w:numId w:val="6"/>
        </w:numPr>
        <w:ind w:left="2790"/>
      </w:pPr>
      <w:r w:rsidRPr="003C18BA">
        <w:rPr>
          <w:rFonts w:eastAsiaTheme="minorEastAsia"/>
        </w:rPr>
        <w:t xml:space="preserve">monitor the progress and outcomes of community Triple P implementation efforts, </w:t>
      </w:r>
    </w:p>
    <w:p w14:paraId="59BE9FA2" w14:textId="27C068B9" w:rsidR="00EF5421" w:rsidRPr="003C18BA" w:rsidRDefault="00EF5421" w:rsidP="00EF5421">
      <w:pPr>
        <w:pStyle w:val="ListBullet"/>
        <w:numPr>
          <w:ilvl w:val="0"/>
          <w:numId w:val="6"/>
        </w:numPr>
        <w:ind w:left="2790"/>
      </w:pPr>
      <w:r w:rsidRPr="003C18BA">
        <w:rPr>
          <w:rFonts w:eastAsiaTheme="minorEastAsia"/>
        </w:rPr>
        <w:lastRenderedPageBreak/>
        <w:t>monitor the effectiveness and acceptability of ICTP implementation support,</w:t>
      </w:r>
    </w:p>
    <w:p w14:paraId="00FEF920" w14:textId="77777777" w:rsidR="00EF5421" w:rsidRPr="003C18BA" w:rsidRDefault="00EF5421" w:rsidP="00EF5421">
      <w:pPr>
        <w:pStyle w:val="ListBullet"/>
        <w:numPr>
          <w:ilvl w:val="0"/>
          <w:numId w:val="6"/>
        </w:numPr>
        <w:ind w:left="2790"/>
      </w:pPr>
      <w:r w:rsidRPr="003C18BA">
        <w:rPr>
          <w:rFonts w:eastAsiaTheme="minorEastAsia"/>
        </w:rPr>
        <w:t>make data-driven quality improvements, and</w:t>
      </w:r>
    </w:p>
    <w:p w14:paraId="50A7E9FC" w14:textId="77777777" w:rsidR="00EF5421" w:rsidRPr="003C18BA" w:rsidRDefault="00EF5421" w:rsidP="00EF5421">
      <w:pPr>
        <w:pStyle w:val="ListBullet"/>
        <w:numPr>
          <w:ilvl w:val="0"/>
          <w:numId w:val="6"/>
        </w:numPr>
        <w:ind w:left="2790"/>
        <w:rPr>
          <w:rFonts w:eastAsiaTheme="minorEastAsia"/>
        </w:rPr>
      </w:pPr>
      <w:r w:rsidRPr="003C18BA">
        <w:rPr>
          <w:rFonts w:eastAsiaTheme="minorEastAsia"/>
        </w:rPr>
        <w:t>enable system learning.</w:t>
      </w:r>
    </w:p>
    <w:sectPr w:rsidR="00EF5421" w:rsidRPr="003C18BA" w:rsidSect="00EA52D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829" w:left="1080" w:header="720" w:footer="792" w:gutter="0"/>
      <w:pgNumType w:start="23"/>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B27D" w14:textId="77777777" w:rsidR="005011EC" w:rsidRDefault="005011EC" w:rsidP="005F3829">
      <w:r>
        <w:separator/>
      </w:r>
    </w:p>
  </w:endnote>
  <w:endnote w:type="continuationSeparator" w:id="0">
    <w:p w14:paraId="316ACC71" w14:textId="77777777" w:rsidR="005011EC" w:rsidRDefault="005011EC"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AB6E" w14:textId="77777777" w:rsidR="00EA52DC" w:rsidRDefault="00EA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A44A" w14:textId="77777777" w:rsidR="00EA52DC" w:rsidRDefault="00EA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AFDE" w14:textId="77777777" w:rsidR="005011EC" w:rsidRDefault="005011EC" w:rsidP="005F3829">
      <w:r>
        <w:separator/>
      </w:r>
    </w:p>
  </w:footnote>
  <w:footnote w:type="continuationSeparator" w:id="0">
    <w:p w14:paraId="3597F3F3" w14:textId="77777777" w:rsidR="005011EC" w:rsidRDefault="005011EC"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7397" w14:textId="77777777" w:rsidR="00EA52DC" w:rsidRDefault="00EA5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rect id="Rectangle 1"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384975" stroked="f" strokeweight="1pt" w14:anchorId="306CD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v:textbox>
                <w:txbxContent>
                  <w:p w:rsidR="005364AB" w:rsidP="005364AB" w:rsidRDefault="005364AB" w14:paraId="53211941" w14:textId="77777777">
                    <w:pPr>
                      <w:ind w:left="0"/>
                      <w:jc w:val="center"/>
                      <w:rPr>
                        <w:sz w:val="13"/>
                        <w:szCs w:val="13"/>
                      </w:rPr>
                    </w:pPr>
                    <w:r w:rsidRPr="0061580A">
                      <w:rPr>
                        <w:sz w:val="13"/>
                        <w:szCs w:val="13"/>
                      </w:rPr>
                      <w:t>BRIEF</w:t>
                    </w:r>
                  </w:p>
                  <w:p w:rsidR="005364AB" w:rsidP="005364AB" w:rsidRDefault="005364AB" w14:paraId="37D2C448" w14:textId="2B4EE9DA">
                    <w:pPr>
                      <w:ind w:left="0"/>
                      <w:jc w:val="center"/>
                    </w:pPr>
                    <w:r>
                      <w:t>5</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1D05" w14:textId="77777777" w:rsidR="00EA52DC" w:rsidRDefault="00EA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7"/>
  </w:num>
  <w:num w:numId="2" w16cid:durableId="1573924017">
    <w:abstractNumId w:val="2"/>
  </w:num>
  <w:num w:numId="3" w16cid:durableId="442841348">
    <w:abstractNumId w:val="6"/>
  </w:num>
  <w:num w:numId="4" w16cid:durableId="1473205752">
    <w:abstractNumId w:val="5"/>
  </w:num>
  <w:num w:numId="5" w16cid:durableId="2119593424">
    <w:abstractNumId w:val="1"/>
  </w:num>
  <w:num w:numId="6" w16cid:durableId="1078133678">
    <w:abstractNumId w:val="0"/>
  </w:num>
  <w:num w:numId="7" w16cid:durableId="933705233">
    <w:abstractNumId w:val="9"/>
  </w:num>
  <w:num w:numId="8" w16cid:durableId="409929883">
    <w:abstractNumId w:val="4"/>
  </w:num>
  <w:num w:numId="9" w16cid:durableId="689374353">
    <w:abstractNumId w:val="8"/>
  </w:num>
  <w:num w:numId="10" w16cid:durableId="854610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30F7"/>
    <w:rsid w:val="000D6668"/>
    <w:rsid w:val="000D784D"/>
    <w:rsid w:val="000E4127"/>
    <w:rsid w:val="000F144E"/>
    <w:rsid w:val="000F791B"/>
    <w:rsid w:val="00103DF4"/>
    <w:rsid w:val="00110010"/>
    <w:rsid w:val="00127054"/>
    <w:rsid w:val="00133D2C"/>
    <w:rsid w:val="00135AE7"/>
    <w:rsid w:val="00137C2C"/>
    <w:rsid w:val="00140E60"/>
    <w:rsid w:val="00156841"/>
    <w:rsid w:val="00167AA4"/>
    <w:rsid w:val="00171B0C"/>
    <w:rsid w:val="00174EEA"/>
    <w:rsid w:val="00191650"/>
    <w:rsid w:val="00191A70"/>
    <w:rsid w:val="00197CF6"/>
    <w:rsid w:val="00197E8F"/>
    <w:rsid w:val="001A122C"/>
    <w:rsid w:val="001A1919"/>
    <w:rsid w:val="001A5297"/>
    <w:rsid w:val="001B0807"/>
    <w:rsid w:val="001B3110"/>
    <w:rsid w:val="001C5AC8"/>
    <w:rsid w:val="001D506E"/>
    <w:rsid w:val="0020026B"/>
    <w:rsid w:val="002053EF"/>
    <w:rsid w:val="002058C2"/>
    <w:rsid w:val="002123EB"/>
    <w:rsid w:val="00214BDF"/>
    <w:rsid w:val="0024147E"/>
    <w:rsid w:val="00245ACC"/>
    <w:rsid w:val="00265F66"/>
    <w:rsid w:val="00287AA1"/>
    <w:rsid w:val="002938A9"/>
    <w:rsid w:val="00297814"/>
    <w:rsid w:val="00297B0D"/>
    <w:rsid w:val="002A5258"/>
    <w:rsid w:val="002A5798"/>
    <w:rsid w:val="002A6970"/>
    <w:rsid w:val="002A7CD7"/>
    <w:rsid w:val="002A7D42"/>
    <w:rsid w:val="002C635A"/>
    <w:rsid w:val="002D2814"/>
    <w:rsid w:val="002E0546"/>
    <w:rsid w:val="002E6E87"/>
    <w:rsid w:val="002F02AE"/>
    <w:rsid w:val="002F3C1D"/>
    <w:rsid w:val="003035FE"/>
    <w:rsid w:val="00320CE7"/>
    <w:rsid w:val="0033373A"/>
    <w:rsid w:val="0034610F"/>
    <w:rsid w:val="003562E9"/>
    <w:rsid w:val="00362DA3"/>
    <w:rsid w:val="00386164"/>
    <w:rsid w:val="00390120"/>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2D95"/>
    <w:rsid w:val="00495E90"/>
    <w:rsid w:val="004974C5"/>
    <w:rsid w:val="004A20EF"/>
    <w:rsid w:val="004C7BC2"/>
    <w:rsid w:val="004E3CDE"/>
    <w:rsid w:val="004E50F5"/>
    <w:rsid w:val="004F1E39"/>
    <w:rsid w:val="004F3458"/>
    <w:rsid w:val="004F4BE3"/>
    <w:rsid w:val="005011EC"/>
    <w:rsid w:val="005041CD"/>
    <w:rsid w:val="00510884"/>
    <w:rsid w:val="005364AB"/>
    <w:rsid w:val="00536F5E"/>
    <w:rsid w:val="00550E57"/>
    <w:rsid w:val="00562892"/>
    <w:rsid w:val="005655C2"/>
    <w:rsid w:val="00570D30"/>
    <w:rsid w:val="00594461"/>
    <w:rsid w:val="005B308E"/>
    <w:rsid w:val="005B3C1A"/>
    <w:rsid w:val="005C6370"/>
    <w:rsid w:val="005C676B"/>
    <w:rsid w:val="005F3829"/>
    <w:rsid w:val="006057C3"/>
    <w:rsid w:val="00617D07"/>
    <w:rsid w:val="00623929"/>
    <w:rsid w:val="006408FC"/>
    <w:rsid w:val="00640B19"/>
    <w:rsid w:val="006426BD"/>
    <w:rsid w:val="0064641A"/>
    <w:rsid w:val="0065387F"/>
    <w:rsid w:val="0066240F"/>
    <w:rsid w:val="006707EF"/>
    <w:rsid w:val="00675E63"/>
    <w:rsid w:val="00695E8D"/>
    <w:rsid w:val="006A5B3F"/>
    <w:rsid w:val="006A6FAD"/>
    <w:rsid w:val="006B10D1"/>
    <w:rsid w:val="006B2C82"/>
    <w:rsid w:val="006C4B83"/>
    <w:rsid w:val="006D39A7"/>
    <w:rsid w:val="006D3D88"/>
    <w:rsid w:val="006D7CD0"/>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51604"/>
    <w:rsid w:val="0085363B"/>
    <w:rsid w:val="00856661"/>
    <w:rsid w:val="00880FA4"/>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63B1C"/>
    <w:rsid w:val="009679D3"/>
    <w:rsid w:val="00972233"/>
    <w:rsid w:val="0097475F"/>
    <w:rsid w:val="00986C79"/>
    <w:rsid w:val="00996BC5"/>
    <w:rsid w:val="009A0DD7"/>
    <w:rsid w:val="009D007D"/>
    <w:rsid w:val="009F582C"/>
    <w:rsid w:val="00A041B2"/>
    <w:rsid w:val="00A25946"/>
    <w:rsid w:val="00A36CF7"/>
    <w:rsid w:val="00A36E8E"/>
    <w:rsid w:val="00A519D9"/>
    <w:rsid w:val="00A7566C"/>
    <w:rsid w:val="00A852FE"/>
    <w:rsid w:val="00A90EE2"/>
    <w:rsid w:val="00A97B53"/>
    <w:rsid w:val="00A97E52"/>
    <w:rsid w:val="00AA2423"/>
    <w:rsid w:val="00AA25E7"/>
    <w:rsid w:val="00AB3577"/>
    <w:rsid w:val="00AC707E"/>
    <w:rsid w:val="00AD0D28"/>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85377"/>
    <w:rsid w:val="00BA019A"/>
    <w:rsid w:val="00BA1F88"/>
    <w:rsid w:val="00BA483A"/>
    <w:rsid w:val="00BA58BC"/>
    <w:rsid w:val="00BB117A"/>
    <w:rsid w:val="00BC3F4A"/>
    <w:rsid w:val="00BC5BA0"/>
    <w:rsid w:val="00BC5C2E"/>
    <w:rsid w:val="00BC67E3"/>
    <w:rsid w:val="00BD5883"/>
    <w:rsid w:val="00BD61AC"/>
    <w:rsid w:val="00BF485A"/>
    <w:rsid w:val="00C020A9"/>
    <w:rsid w:val="00C0590B"/>
    <w:rsid w:val="00C07174"/>
    <w:rsid w:val="00C07AA8"/>
    <w:rsid w:val="00C22C50"/>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57F4D"/>
    <w:rsid w:val="00D679D1"/>
    <w:rsid w:val="00D67E17"/>
    <w:rsid w:val="00D7007A"/>
    <w:rsid w:val="00D71F1B"/>
    <w:rsid w:val="00D8255F"/>
    <w:rsid w:val="00D87CDA"/>
    <w:rsid w:val="00D936E9"/>
    <w:rsid w:val="00DC553B"/>
    <w:rsid w:val="00DE0C0E"/>
    <w:rsid w:val="00E11CBC"/>
    <w:rsid w:val="00E311FC"/>
    <w:rsid w:val="00E34815"/>
    <w:rsid w:val="00E4509A"/>
    <w:rsid w:val="00E818F2"/>
    <w:rsid w:val="00EA52DC"/>
    <w:rsid w:val="00ED7F6F"/>
    <w:rsid w:val="00EE683F"/>
    <w:rsid w:val="00EF0591"/>
    <w:rsid w:val="00EF0823"/>
    <w:rsid w:val="00EF5222"/>
    <w:rsid w:val="00EF5421"/>
    <w:rsid w:val="00F008D4"/>
    <w:rsid w:val="00F03935"/>
    <w:rsid w:val="00F1585E"/>
    <w:rsid w:val="00F30C30"/>
    <w:rsid w:val="00F44508"/>
    <w:rsid w:val="00F46C61"/>
    <w:rsid w:val="00F52D45"/>
    <w:rsid w:val="00F75B7F"/>
    <w:rsid w:val="00F81167"/>
    <w:rsid w:val="00F85157"/>
    <w:rsid w:val="00F909EF"/>
    <w:rsid w:val="00FA5539"/>
    <w:rsid w:val="00FB4014"/>
    <w:rsid w:val="00FC7651"/>
    <w:rsid w:val="030AFA50"/>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1"/>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6"/>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8"/>
      </w:numPr>
      <w:tabs>
        <w:tab w:val="num" w:pos="360"/>
      </w:tabs>
      <w:ind w:left="2520" w:hanging="270"/>
    </w:pPr>
    <w:rPr>
      <w:sz w:val="20"/>
      <w:szCs w:val="20"/>
    </w:rPr>
  </w:style>
  <w:style w:type="paragraph" w:customStyle="1" w:styleId="TableBullet">
    <w:name w:val="Table Bullet"/>
    <w:basedOn w:val="ListNumber"/>
    <w:qFormat/>
    <w:rsid w:val="00B17577"/>
    <w:pPr>
      <w:numPr>
        <w:numId w:val="9"/>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principle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tp.fpg.unc.edu/wp-content/uploads/principles.docx"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cp:revision>
  <dcterms:created xsi:type="dcterms:W3CDTF">2024-06-10T18:59:00Z</dcterms:created>
  <dcterms:modified xsi:type="dcterms:W3CDTF">2024-06-17T17:50:00Z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