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A5DF" w14:textId="77777777" w:rsidR="001A5737" w:rsidRPr="00535511" w:rsidRDefault="001A5737" w:rsidP="001A5737">
      <w:pPr>
        <w:pStyle w:val="Heading2"/>
        <w:spacing w:before="240"/>
        <w:rPr>
          <w:rFonts w:cstheme="majorHAnsi"/>
        </w:rPr>
      </w:pPr>
      <w:bookmarkStart w:id="0" w:name="_Toc111053468"/>
      <w:r w:rsidRPr="00535511">
        <w:rPr>
          <w:rFonts w:cstheme="majorHAnsi"/>
        </w:rPr>
        <w:t xml:space="preserve">ICTP Media </w:t>
      </w:r>
      <w:r>
        <w:rPr>
          <w:rFonts w:cstheme="majorHAnsi"/>
        </w:rPr>
        <w:t>&amp;</w:t>
      </w:r>
      <w:r w:rsidRPr="00535511">
        <w:rPr>
          <w:rFonts w:cstheme="majorHAnsi"/>
        </w:rPr>
        <w:t xml:space="preserve"> Networking Influences </w:t>
      </w:r>
      <w:r>
        <w:rPr>
          <w:rFonts w:cstheme="majorHAnsi"/>
        </w:rPr>
        <w:t>&amp;</w:t>
      </w:r>
      <w:r w:rsidRPr="00535511">
        <w:rPr>
          <w:rFonts w:cstheme="majorHAnsi"/>
        </w:rPr>
        <w:t xml:space="preserve"> Outcomes</w:t>
      </w:r>
      <w:bookmarkEnd w:id="0"/>
    </w:p>
    <w:p w14:paraId="20AF589F" w14:textId="77777777" w:rsidR="001A5737" w:rsidRDefault="001A5737" w:rsidP="001A5737">
      <w:r w:rsidRPr="00CD43BE">
        <w:rPr>
          <w:b/>
          <w:bCs/>
        </w:rPr>
        <w:t>Figure 9.1</w:t>
      </w:r>
      <w:r>
        <w:t xml:space="preserve"> provides a model for how ICTP media and networking activities influence a distinct set of short-term practice outcomes and complement direct implementation support activities provided by ICTP regional support teams and other ISPs. Within this model, ICTP media and networking team members </w:t>
      </w:r>
      <w:r w:rsidRPr="00346452">
        <w:t>us</w:t>
      </w:r>
      <w:r>
        <w:t>e network metrics</w:t>
      </w:r>
      <w:r w:rsidRPr="00346452">
        <w:t xml:space="preserve"> </w:t>
      </w:r>
      <w:r>
        <w:t xml:space="preserve">(i.e., relationship measurements) and data visualization ((i.e., visual representations of numerical information) </w:t>
      </w:r>
      <w:r w:rsidRPr="00346452">
        <w:t>to</w:t>
      </w:r>
    </w:p>
    <w:p w14:paraId="01E781DD" w14:textId="77777777" w:rsidR="001A5737" w:rsidRDefault="001A5737" w:rsidP="001A5737">
      <w:pPr>
        <w:pStyle w:val="ListBullet"/>
      </w:pPr>
      <w:r w:rsidRPr="00A36883">
        <w:t xml:space="preserve">understand, use, and expand </w:t>
      </w:r>
      <w:r>
        <w:t xml:space="preserve">existing </w:t>
      </w:r>
      <w:r w:rsidRPr="00A36883">
        <w:t xml:space="preserve">communication networks </w:t>
      </w:r>
      <w:r>
        <w:t>and</w:t>
      </w:r>
    </w:p>
    <w:p w14:paraId="11D59ADB" w14:textId="13056DF2" w:rsidR="00065881" w:rsidRDefault="001A5737" w:rsidP="0004272D">
      <w:pPr>
        <w:pStyle w:val="ListBullet"/>
        <w:numPr>
          <w:ilvl w:val="0"/>
          <w:numId w:val="0"/>
        </w:numPr>
        <w:ind w:left="2430"/>
        <w:rPr>
          <w:b/>
          <w:bCs/>
          <w:iCs/>
          <w:sz w:val="18"/>
          <w:szCs w:val="18"/>
        </w:rPr>
      </w:pPr>
      <w:r w:rsidRPr="00A36883">
        <w:t>strategically influence individuals, organizations, and settings</w:t>
      </w:r>
      <w:r>
        <w:t xml:space="preserve"> to</w:t>
      </w:r>
      <w:r w:rsidRPr="00A36883">
        <w:t xml:space="preserve"> receive, create, and share </w:t>
      </w:r>
      <w:r>
        <w:t xml:space="preserve">effective implementation practice </w:t>
      </w:r>
      <w:r w:rsidRPr="00A36883">
        <w:t>information, messages, and modeling.</w:t>
      </w:r>
      <w:bookmarkStart w:id="1" w:name="Figure9pointOne"/>
      <w:bookmarkEnd w:id="1"/>
      <w:r w:rsidR="0004272D">
        <w:br/>
      </w:r>
      <w:r w:rsidR="0004272D">
        <w:br/>
      </w:r>
    </w:p>
    <w:p w14:paraId="5E3340EB" w14:textId="7FFCC773" w:rsidR="00131953" w:rsidRPr="00131953" w:rsidRDefault="001A5737" w:rsidP="00131953">
      <w:pPr>
        <w:pStyle w:val="Caption"/>
      </w:pPr>
      <w:r w:rsidRPr="00FB0BD8">
        <w:rPr>
          <w:b/>
          <w:bCs/>
        </w:rPr>
        <w:t xml:space="preserve">Figure </w:t>
      </w:r>
      <w:r>
        <w:rPr>
          <w:b/>
          <w:bCs/>
        </w:rPr>
        <w:t>9.</w:t>
      </w:r>
      <w:r w:rsidRPr="00FB0BD8">
        <w:rPr>
          <w:b/>
          <w:bCs/>
        </w:rPr>
        <w:t>1</w:t>
      </w:r>
      <w:r w:rsidRPr="00844BD5">
        <w:t xml:space="preserve"> ICTP Model of Media and Networking</w:t>
      </w:r>
      <w:r w:rsidR="00131953">
        <w:t xml:space="preserve"> (M&amp;N)</w:t>
      </w:r>
      <w:r w:rsidRPr="00844BD5">
        <w:t xml:space="preserve"> Influences and Outcomes. </w:t>
      </w:r>
      <w:r w:rsidR="00BA31C1">
        <w:br/>
      </w:r>
      <w:r w:rsidRPr="00844BD5">
        <w:rPr>
          <w:i/>
        </w:rPr>
        <w:t>Note.</w:t>
      </w:r>
      <w:r w:rsidRPr="00844BD5">
        <w:t xml:space="preserve"> TA = technical assistance</w:t>
      </w:r>
      <w:r w:rsidR="005E5A99">
        <w:t>.</w:t>
      </w:r>
      <w:r w:rsidR="00131953">
        <w:t xml:space="preserve"> </w:t>
      </w:r>
      <w:r w:rsidR="00131953" w:rsidRPr="00131953">
        <w:t>Red</w:t>
      </w:r>
      <w:r w:rsidR="00131953">
        <w:t xml:space="preserve"> arrows:</w:t>
      </w:r>
      <w:r w:rsidR="00131953" w:rsidRPr="00131953">
        <w:t xml:space="preserve"> primary pathway for influence media and networking efforts (direct intervention), trying to shift attitudes and support seeking behavior in the red triangle. Dotted arrow</w:t>
      </w:r>
      <w:r w:rsidR="00131953">
        <w:t>:</w:t>
      </w:r>
      <w:r w:rsidR="00131953" w:rsidRPr="00131953">
        <w:t xml:space="preserve"> is the realization that we don’t expect direct application thr</w:t>
      </w:r>
      <w:r w:rsidR="00BA31C1">
        <w:t>ough</w:t>
      </w:r>
      <w:r w:rsidR="00131953" w:rsidRPr="00131953">
        <w:t xml:space="preserve"> M&amp;N alone</w:t>
      </w:r>
      <w:r w:rsidR="00131953">
        <w:t xml:space="preserve">. </w:t>
      </w:r>
      <w:r w:rsidR="00131953" w:rsidRPr="00131953">
        <w:t>Blue arrow</w:t>
      </w:r>
      <w:r w:rsidR="00131953">
        <w:t xml:space="preserve">: </w:t>
      </w:r>
      <w:r w:rsidR="00131953" w:rsidRPr="00131953">
        <w:t xml:space="preserve"> represent traditional on the ground support processes</w:t>
      </w:r>
      <w:r w:rsidR="00BA31C1">
        <w:t>.</w:t>
      </w:r>
      <w:r w:rsidR="00131953">
        <w:t xml:space="preserve"> </w:t>
      </w:r>
      <w:r w:rsidR="00131953" w:rsidRPr="00131953">
        <w:t>Green</w:t>
      </w:r>
      <w:r w:rsidR="00131953">
        <w:t>:</w:t>
      </w:r>
      <w:r w:rsidR="00131953" w:rsidRPr="00131953">
        <w:t xml:space="preserve"> pathway of activities represent support from the communication network</w:t>
      </w:r>
      <w:r w:rsidR="00BA31C1">
        <w:t>.</w:t>
      </w:r>
    </w:p>
    <w:p w14:paraId="2515B273" w14:textId="5AB19871" w:rsidR="00AA3A35" w:rsidRDefault="00AA3A35" w:rsidP="00AA3A35">
      <w:r>
        <w:rPr>
          <w:noProof/>
        </w:rPr>
        <w:drawing>
          <wp:inline distT="0" distB="0" distL="0" distR="0" wp14:anchorId="6A3216D7" wp14:editId="1663BB2B">
            <wp:extent cx="5210175" cy="2877185"/>
            <wp:effectExtent l="0" t="0" r="9525" b="0"/>
            <wp:docPr id="661693807" name="Picture 2" descr="communication network influences and outcomes through a combination of media and networking influences, direct implementation support, and direct 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693807" name="Picture 2" descr="communication network influences and outcomes through a combination of media and networking influences, direct implementation support, and direct intervention. "/>
                    <pic:cNvPicPr/>
                  </pic:nvPicPr>
                  <pic:blipFill rotWithShape="1">
                    <a:blip r:embed="rId8" cstate="print">
                      <a:extLst>
                        <a:ext uri="{28A0092B-C50C-407E-A947-70E740481C1C}">
                          <a14:useLocalDpi xmlns:a14="http://schemas.microsoft.com/office/drawing/2010/main" val="0"/>
                        </a:ext>
                      </a:extLst>
                    </a:blip>
                    <a:srcRect l="1758" r="1997"/>
                    <a:stretch/>
                  </pic:blipFill>
                  <pic:spPr bwMode="auto">
                    <a:xfrm>
                      <a:off x="0" y="0"/>
                      <a:ext cx="5247955" cy="2898048"/>
                    </a:xfrm>
                    <a:prstGeom prst="rect">
                      <a:avLst/>
                    </a:prstGeom>
                    <a:ln>
                      <a:noFill/>
                    </a:ln>
                    <a:extLst>
                      <a:ext uri="{53640926-AAD7-44D8-BBD7-CCE9431645EC}">
                        <a14:shadowObscured xmlns:a14="http://schemas.microsoft.com/office/drawing/2010/main"/>
                      </a:ext>
                    </a:extLst>
                  </pic:spPr>
                </pic:pic>
              </a:graphicData>
            </a:graphic>
          </wp:inline>
        </w:drawing>
      </w:r>
    </w:p>
    <w:p w14:paraId="00659090" w14:textId="77777777" w:rsidR="00131953" w:rsidRDefault="00131953" w:rsidP="00EA18E3"/>
    <w:p w14:paraId="4A6778D6" w14:textId="77777777" w:rsidR="00131953" w:rsidRDefault="00131953" w:rsidP="00EA18E3"/>
    <w:p w14:paraId="3F699E25" w14:textId="60F087F1" w:rsidR="00CD43BE" w:rsidRPr="00EA18E3" w:rsidRDefault="001A5737" w:rsidP="00EA18E3">
      <w:pPr>
        <w:rPr>
          <w:rFonts w:eastAsia="Libre Baskerville"/>
        </w:rPr>
      </w:pPr>
      <w:r w:rsidRPr="00EA18E3">
        <w:lastRenderedPageBreak/>
        <w:t xml:space="preserve">Box 9.3 describes the network metrics used within the ICTP projects. </w:t>
      </w:r>
    </w:p>
    <w:tbl>
      <w:tblPr>
        <w:tblStyle w:val="TableGrid"/>
        <w:tblW w:w="0" w:type="auto"/>
        <w:tblCellSpacing w:w="20" w:type="dxa"/>
        <w:tblInd w:w="2017" w:type="dxa"/>
        <w:tblBorders>
          <w:top w:val="thinThickLargeGap" w:sz="24" w:space="0" w:color="20BEC7"/>
          <w:left w:val="thinThickLargeGap" w:sz="24" w:space="0" w:color="20BEC7"/>
          <w:bottom w:val="thickThinLargeGap" w:sz="24" w:space="0" w:color="20BEC7"/>
          <w:right w:val="thickThinLargeGap" w:sz="24" w:space="0" w:color="20BEC7"/>
          <w:insideH w:val="none" w:sz="0" w:space="0" w:color="auto"/>
          <w:insideV w:val="none" w:sz="0" w:space="0" w:color="auto"/>
        </w:tblBorders>
        <w:shd w:val="clear" w:color="auto" w:fill="FFFFFF" w:themeFill="background1"/>
        <w:tblLook w:val="04A0" w:firstRow="1" w:lastRow="0" w:firstColumn="1" w:lastColumn="0" w:noHBand="0" w:noVBand="1"/>
      </w:tblPr>
      <w:tblGrid>
        <w:gridCol w:w="7776"/>
      </w:tblGrid>
      <w:tr w:rsidR="00BD747A" w:rsidRPr="008A3F6A" w14:paraId="7E5F11FE" w14:textId="77777777" w:rsidTr="00BD747A">
        <w:trPr>
          <w:tblCellSpacing w:w="20" w:type="dxa"/>
        </w:trPr>
        <w:tc>
          <w:tcPr>
            <w:tcW w:w="7696" w:type="dxa"/>
            <w:shd w:val="clear" w:color="auto" w:fill="FFFFFF" w:themeFill="background1"/>
          </w:tcPr>
          <w:p w14:paraId="51E4D073" w14:textId="4C37FCDB" w:rsidR="00CD43BE" w:rsidRDefault="00CD43BE" w:rsidP="00620D71">
            <w:pPr>
              <w:pStyle w:val="BOXtitle"/>
            </w:pPr>
            <w:r w:rsidRPr="004D30DC">
              <w:rPr>
                <w:rFonts w:eastAsia="Libre Baskerville"/>
              </w:rPr>
              <w:t xml:space="preserve">Box </w:t>
            </w:r>
            <w:r>
              <w:rPr>
                <w:rFonts w:eastAsia="Libre Baskerville"/>
              </w:rPr>
              <w:t>9</w:t>
            </w:r>
            <w:r w:rsidRPr="004D30DC">
              <w:rPr>
                <w:rFonts w:eastAsia="Libre Baskerville"/>
              </w:rPr>
              <w:t>.</w:t>
            </w:r>
            <w:r>
              <w:rPr>
                <w:rFonts w:eastAsia="Libre Baskerville"/>
              </w:rPr>
              <w:t xml:space="preserve">3 </w:t>
            </w:r>
            <w:r w:rsidRPr="00CD43BE">
              <w:rPr>
                <w:rFonts w:eastAsia="Libre Baskerville"/>
                <w:b w:val="0"/>
                <w:bCs w:val="0"/>
              </w:rPr>
              <w:t>ICTP Case Example of</w:t>
            </w:r>
            <w:r w:rsidRPr="00257E69">
              <w:rPr>
                <w:rFonts w:eastAsia="Libre Baskerville"/>
              </w:rPr>
              <w:t xml:space="preserve"> </w:t>
            </w:r>
            <w:r w:rsidRPr="00CD43BE">
              <w:t xml:space="preserve">Using </w:t>
            </w:r>
            <w:r>
              <w:t xml:space="preserve">Network Metrics to Create Strategic Influence on Individuals and Organizations </w:t>
            </w:r>
          </w:p>
          <w:p w14:paraId="77B63493" w14:textId="77777777" w:rsidR="00CD43BE" w:rsidRPr="00CD43BE" w:rsidRDefault="00CD43BE" w:rsidP="00CD43BE">
            <w:pPr>
              <w:pStyle w:val="BOXbody"/>
            </w:pPr>
            <w:r w:rsidRPr="00CD43BE">
              <w:t>The Triple P stakeholder network includes regional Triple P leaders and implementation teams, community partners, NC Triple P Support System members, and funders (see Figure 9.1). The ICTP projects use five key network metrics and a 20-item scale to evaluate network functioning. The five metrics are:</w:t>
            </w:r>
          </w:p>
          <w:p w14:paraId="240BE41D" w14:textId="77777777" w:rsidR="00CD43BE" w:rsidRPr="00CD43BE" w:rsidRDefault="00CD43BE">
            <w:pPr>
              <w:pStyle w:val="BOXbody"/>
              <w:numPr>
                <w:ilvl w:val="0"/>
                <w:numId w:val="12"/>
              </w:numPr>
            </w:pPr>
            <w:r w:rsidRPr="00CD43BE">
              <w:rPr>
                <w:b/>
                <w:bCs/>
              </w:rPr>
              <w:t>In-degree centralization</w:t>
            </w:r>
            <w:r w:rsidRPr="00CD43BE">
              <w:t xml:space="preserve"> (how many people have connections to person X). This gives a sense of who may be network influencers.</w:t>
            </w:r>
          </w:p>
          <w:p w14:paraId="773AF7FC" w14:textId="77777777" w:rsidR="00CD43BE" w:rsidRPr="00CD43BE" w:rsidRDefault="00CD43BE">
            <w:pPr>
              <w:pStyle w:val="BOXbody"/>
              <w:numPr>
                <w:ilvl w:val="0"/>
                <w:numId w:val="12"/>
              </w:numPr>
            </w:pPr>
            <w:r w:rsidRPr="00CD43BE">
              <w:rPr>
                <w:b/>
                <w:bCs/>
              </w:rPr>
              <w:t>Unidirectional ties</w:t>
            </w:r>
            <w:r w:rsidRPr="00CD43BE">
              <w:t xml:space="preserve"> (person X nominates person Y, but person Y does not nominate person X). A network with a high number of unidirectional ties is siloed and communication among members is weak. </w:t>
            </w:r>
          </w:p>
          <w:p w14:paraId="2C487B61" w14:textId="77777777" w:rsidR="00CD43BE" w:rsidRPr="00CD43BE" w:rsidRDefault="00CD43BE">
            <w:pPr>
              <w:pStyle w:val="BOXbody"/>
              <w:numPr>
                <w:ilvl w:val="0"/>
                <w:numId w:val="12"/>
              </w:numPr>
            </w:pPr>
            <w:r w:rsidRPr="00CD43BE">
              <w:rPr>
                <w:b/>
                <w:bCs/>
              </w:rPr>
              <w:t>Reciprocal ties</w:t>
            </w:r>
            <w:r w:rsidRPr="00CD43BE">
              <w:t xml:space="preserve"> (person X nominates person Y, and person Y nominates person X). This gives a sense of collaboration and trust in a network.</w:t>
            </w:r>
          </w:p>
          <w:p w14:paraId="73B2033D" w14:textId="77777777" w:rsidR="00CD43BE" w:rsidRPr="00CD43BE" w:rsidRDefault="00CD43BE">
            <w:pPr>
              <w:pStyle w:val="BOXbody"/>
              <w:numPr>
                <w:ilvl w:val="0"/>
                <w:numId w:val="12"/>
              </w:numPr>
            </w:pPr>
            <w:r w:rsidRPr="00CD43BE">
              <w:rPr>
                <w:b/>
                <w:bCs/>
              </w:rPr>
              <w:t>Network size</w:t>
            </w:r>
            <w:r w:rsidRPr="00CD43BE">
              <w:t xml:space="preserve"> (the number of people represented in the network who have at least one connection with another person in the network). This gives a sense of the overall network size. </w:t>
            </w:r>
          </w:p>
          <w:p w14:paraId="0F33348C" w14:textId="77777777" w:rsidR="00CD43BE" w:rsidRPr="00CD43BE" w:rsidRDefault="00CD43BE">
            <w:pPr>
              <w:pStyle w:val="BOXbody"/>
              <w:numPr>
                <w:ilvl w:val="0"/>
                <w:numId w:val="12"/>
              </w:numPr>
            </w:pPr>
            <w:r w:rsidRPr="00CD43BE">
              <w:rPr>
                <w:b/>
                <w:bCs/>
              </w:rPr>
              <w:t>Density</w:t>
            </w:r>
            <w:r w:rsidRPr="00CD43BE">
              <w:t xml:space="preserve"> (a statistic that represents the proportion of possible relationships in the network that are </w:t>
            </w:r>
            <w:proofErr w:type="gramStart"/>
            <w:r w:rsidRPr="00CD43BE">
              <w:t>actually present</w:t>
            </w:r>
            <w:proofErr w:type="gramEnd"/>
            <w:r w:rsidRPr="00CD43BE">
              <w:t>). Lower numbers represent networks with no or few relationships and higher numbers represent networks with many or all possible relationships. For the purposes of the Triple P network, a higher number is desirable.</w:t>
            </w:r>
          </w:p>
          <w:p w14:paraId="3A739C3A" w14:textId="77777777" w:rsidR="00CD43BE" w:rsidRPr="00CD43BE" w:rsidRDefault="00CD43BE" w:rsidP="00CD43BE">
            <w:pPr>
              <w:pStyle w:val="BOXbody"/>
            </w:pPr>
          </w:p>
          <w:p w14:paraId="003D2DD9" w14:textId="77777777" w:rsidR="00CD43BE" w:rsidRPr="00CD43BE" w:rsidRDefault="00CD43BE" w:rsidP="00CD43BE">
            <w:pPr>
              <w:pStyle w:val="BOXbody"/>
            </w:pPr>
            <w:r w:rsidRPr="00CD43BE">
              <w:t>The SPANS (Scale of Perceived Network Support) measures perceived value, reciprocity, and collaboration climate within the network. This scale (and subscales) gives ICTP media and networking team members and other system partners direction in terms of where to focus efforts to change network attitudes and/or behavior.</w:t>
            </w:r>
          </w:p>
          <w:p w14:paraId="461489F7" w14:textId="77777777" w:rsidR="00CD43BE" w:rsidRPr="00CD43BE" w:rsidRDefault="00CD43BE" w:rsidP="00CD43BE">
            <w:pPr>
              <w:pStyle w:val="BOXbody"/>
            </w:pPr>
          </w:p>
          <w:p w14:paraId="1CFDA20D" w14:textId="77777777" w:rsidR="00CD43BE" w:rsidRPr="00CD43BE" w:rsidRDefault="00CD43BE" w:rsidP="00CD43BE">
            <w:pPr>
              <w:pStyle w:val="BOXbody"/>
            </w:pPr>
            <w:r w:rsidRPr="00CD43BE">
              <w:t xml:space="preserve">Individuals central to the Triple P stakeholder network (i.e., those with high in-degree centralization) typically serve as podcast guests, model implementation experiences in The Implementeer newsletters, and lead activities during NCLC sessions. </w:t>
            </w:r>
          </w:p>
          <w:p w14:paraId="583EDADC" w14:textId="7D27FD70" w:rsidR="00CD43BE" w:rsidRPr="008A3F6A" w:rsidRDefault="00CD43BE" w:rsidP="00BA31C1">
            <w:pPr>
              <w:pStyle w:val="BOXbody"/>
              <w:rPr>
                <w:rFonts w:ascii="Libre Baskerville" w:hAnsi="Libre Baskerville"/>
              </w:rPr>
            </w:pPr>
            <w:r w:rsidRPr="00CD43BE">
              <w:lastRenderedPageBreak/>
              <w:t>These network measures are also used for descriptive and evaluation purposes to see how the network is changing over time in response to influences of ICTP media and networking team members and other system partners.</w:t>
            </w:r>
          </w:p>
        </w:tc>
      </w:tr>
    </w:tbl>
    <w:p w14:paraId="7D0627F5" w14:textId="77777777" w:rsidR="001A5737" w:rsidRDefault="001A5737" w:rsidP="00CD43BE">
      <w:pPr>
        <w:ind w:left="0"/>
      </w:pPr>
    </w:p>
    <w:p w14:paraId="27DF2780" w14:textId="61682C1B" w:rsidR="001A5737" w:rsidRDefault="001A5737" w:rsidP="001A5737">
      <w:r>
        <w:t>ICTP media and c</w:t>
      </w:r>
      <w:r w:rsidRPr="00A36883">
        <w:t xml:space="preserve">ommunications strategies </w:t>
      </w:r>
      <w:r>
        <w:t xml:space="preserve">employed within the communication network model </w:t>
      </w:r>
      <w:r w:rsidR="00CD43BE">
        <w:t>[</w:t>
      </w:r>
      <w:hyperlink w:anchor="Figure9pointOne" w:history="1">
        <w:r w:rsidRPr="00815A49">
          <w:rPr>
            <w:rStyle w:val="Hyperlink"/>
          </w:rPr>
          <w:t>Figure 9.</w:t>
        </w:r>
        <w:r w:rsidR="00CD43BE" w:rsidRPr="00815A49">
          <w:rPr>
            <w:rStyle w:val="Hyperlink"/>
          </w:rPr>
          <w:t xml:space="preserve">1 </w:t>
        </w:r>
        <w:r w:rsidR="00CD43BE" w:rsidRPr="00815A49">
          <w:rPr>
            <w:rStyle w:val="Hyperlink"/>
            <w:rFonts w:eastAsiaTheme="minorHAnsi"/>
          </w:rPr>
          <w:t>ICTP Model of Media and Networking Influences and Outcomes</w:t>
        </w:r>
      </w:hyperlink>
      <w:r w:rsidR="00CD43BE">
        <w:t xml:space="preserve">] </w:t>
      </w:r>
      <w:r w:rsidRPr="00A36883">
        <w:t>are tailored to best practices, needs, and audience preferences</w:t>
      </w:r>
      <w:r>
        <w:t>, as illustrated in the practice example in Box 9.4. They</w:t>
      </w:r>
      <w:r w:rsidRPr="00A36883">
        <w:t xml:space="preserve"> involve an array of digital and interpersonal communication</w:t>
      </w:r>
      <w:r>
        <w:t xml:space="preserve">s activities </w:t>
      </w:r>
      <w:r w:rsidRPr="00A36883">
        <w:t>to</w:t>
      </w:r>
    </w:p>
    <w:p w14:paraId="36FB1D50" w14:textId="77777777" w:rsidR="001A5737" w:rsidRDefault="001A5737" w:rsidP="001A5737">
      <w:pPr>
        <w:pStyle w:val="ListBullet"/>
      </w:pPr>
      <w:r w:rsidRPr="00A36883">
        <w:t xml:space="preserve">share </w:t>
      </w:r>
      <w:r>
        <w:t xml:space="preserve">effective implementation practice </w:t>
      </w:r>
      <w:r w:rsidRPr="00A36883">
        <w:t xml:space="preserve">information and resources, </w:t>
      </w:r>
    </w:p>
    <w:p w14:paraId="5AA0484C" w14:textId="77777777" w:rsidR="001A5737" w:rsidRDefault="001A5737" w:rsidP="001A5737">
      <w:pPr>
        <w:pStyle w:val="ListBullet"/>
      </w:pPr>
      <w:r w:rsidRPr="00A36883">
        <w:t xml:space="preserve">model real-world implementation, </w:t>
      </w:r>
    </w:p>
    <w:p w14:paraId="52027B54" w14:textId="77777777" w:rsidR="001A5737" w:rsidRDefault="001A5737" w:rsidP="001A5737">
      <w:pPr>
        <w:pStyle w:val="ListBullet"/>
      </w:pPr>
      <w:r w:rsidRPr="00A36883">
        <w:t xml:space="preserve">build network familiarity, </w:t>
      </w:r>
    </w:p>
    <w:p w14:paraId="444218B0" w14:textId="77777777" w:rsidR="001A5737" w:rsidRDefault="001A5737" w:rsidP="001A5737">
      <w:pPr>
        <w:pStyle w:val="ListBullet"/>
      </w:pPr>
      <w:r w:rsidRPr="00A36883">
        <w:t xml:space="preserve">build </w:t>
      </w:r>
      <w:r>
        <w:t xml:space="preserve">effective implementation practice </w:t>
      </w:r>
      <w:r w:rsidRPr="00A36883">
        <w:t xml:space="preserve">skills, and </w:t>
      </w:r>
    </w:p>
    <w:p w14:paraId="7FEB784A" w14:textId="5257A37F" w:rsidR="00CD43BE" w:rsidRPr="00831AF9" w:rsidRDefault="001A5737" w:rsidP="00831AF9">
      <w:pPr>
        <w:pStyle w:val="ListBullet"/>
      </w:pPr>
      <w:r w:rsidRPr="00A36883">
        <w:t xml:space="preserve">model and normalize </w:t>
      </w:r>
      <w:r>
        <w:t xml:space="preserve">implementation </w:t>
      </w:r>
      <w:r w:rsidRPr="00A36883">
        <w:t>support</w:t>
      </w:r>
      <w:r>
        <w:t>-seeking behaviors</w:t>
      </w:r>
      <w:r w:rsidRPr="00A36883">
        <w:t xml:space="preserve">. </w:t>
      </w:r>
      <w:r w:rsidR="0004272D">
        <w:br/>
      </w:r>
    </w:p>
    <w:tbl>
      <w:tblPr>
        <w:tblStyle w:val="TableGrid"/>
        <w:tblW w:w="0" w:type="auto"/>
        <w:tblCellSpacing w:w="20" w:type="dxa"/>
        <w:tblInd w:w="2017" w:type="dxa"/>
        <w:tblBorders>
          <w:top w:val="thinThickLargeGap" w:sz="24" w:space="0" w:color="20BEC7"/>
          <w:left w:val="thinThickLargeGap" w:sz="24" w:space="0" w:color="20BEC7"/>
          <w:bottom w:val="thickThinLargeGap" w:sz="24" w:space="0" w:color="20BEC7"/>
          <w:right w:val="thickThinLargeGap" w:sz="24" w:space="0" w:color="20BEC7"/>
          <w:insideH w:val="none" w:sz="0" w:space="0" w:color="auto"/>
          <w:insideV w:val="none" w:sz="0" w:space="0" w:color="auto"/>
        </w:tblBorders>
        <w:shd w:val="clear" w:color="auto" w:fill="FFFFFF" w:themeFill="background1"/>
        <w:tblLook w:val="04A0" w:firstRow="1" w:lastRow="0" w:firstColumn="1" w:lastColumn="0" w:noHBand="0" w:noVBand="1"/>
      </w:tblPr>
      <w:tblGrid>
        <w:gridCol w:w="7776"/>
      </w:tblGrid>
      <w:tr w:rsidR="00BD747A" w:rsidRPr="008A3F6A" w14:paraId="35C9CADC" w14:textId="77777777" w:rsidTr="00BD747A">
        <w:trPr>
          <w:tblCellSpacing w:w="20" w:type="dxa"/>
        </w:trPr>
        <w:tc>
          <w:tcPr>
            <w:tcW w:w="7696" w:type="dxa"/>
            <w:shd w:val="clear" w:color="auto" w:fill="FFFFFF" w:themeFill="background1"/>
          </w:tcPr>
          <w:p w14:paraId="07E11EF8" w14:textId="46DF5E96" w:rsidR="00CD43BE" w:rsidRDefault="00CD43BE" w:rsidP="00620D71">
            <w:pPr>
              <w:ind w:left="165" w:right="72"/>
            </w:pPr>
            <w:r w:rsidRPr="004D30DC">
              <w:rPr>
                <w:rFonts w:eastAsia="Libre Baskerville"/>
                <w:b/>
                <w:bCs/>
              </w:rPr>
              <w:t xml:space="preserve">Box </w:t>
            </w:r>
            <w:r>
              <w:rPr>
                <w:rFonts w:eastAsia="Libre Baskerville"/>
                <w:b/>
                <w:bCs/>
              </w:rPr>
              <w:t>9</w:t>
            </w:r>
            <w:r w:rsidRPr="004D30DC">
              <w:rPr>
                <w:rFonts w:eastAsia="Libre Baskerville"/>
                <w:b/>
                <w:bCs/>
              </w:rPr>
              <w:t>.</w:t>
            </w:r>
            <w:r>
              <w:rPr>
                <w:rFonts w:eastAsia="Libre Baskerville"/>
                <w:b/>
                <w:bCs/>
              </w:rPr>
              <w:t>4</w:t>
            </w:r>
            <w:r>
              <w:rPr>
                <w:rFonts w:eastAsia="Libre Baskerville"/>
              </w:rPr>
              <w:t xml:space="preserve"> </w:t>
            </w:r>
            <w:r w:rsidRPr="00257E69">
              <w:rPr>
                <w:rFonts w:eastAsia="Libre Baskerville"/>
              </w:rPr>
              <w:t xml:space="preserve">ICTP Case Example of </w:t>
            </w:r>
            <w:r w:rsidRPr="00CD43BE">
              <w:rPr>
                <w:b/>
                <w:bCs/>
              </w:rPr>
              <w:t>Tailoring Digital and Interpersonal Communications to System Needs and Preferences for Implementation</w:t>
            </w:r>
          </w:p>
          <w:p w14:paraId="626DD267" w14:textId="77777777" w:rsidR="00CD43BE" w:rsidRDefault="00CD43BE" w:rsidP="00620D71">
            <w:pPr>
              <w:ind w:left="165" w:right="72"/>
            </w:pPr>
          </w:p>
          <w:p w14:paraId="256A7930" w14:textId="77777777" w:rsidR="00CD43BE" w:rsidRDefault="00CD43BE" w:rsidP="00CD43BE">
            <w:pPr>
              <w:pStyle w:val="BOXbody"/>
            </w:pPr>
            <w:r>
              <w:t xml:space="preserve">The ICTP projects published four issues of </w:t>
            </w:r>
            <w:r w:rsidRPr="00104A98">
              <w:rPr>
                <w:i/>
                <w:iCs/>
              </w:rPr>
              <w:t>The Implementeer</w:t>
            </w:r>
            <w:r>
              <w:t xml:space="preserve"> between July 2022 and June 2023 that focused on topics selected by NCLC members through a survey. Nominations for topics included in the survey came from</w:t>
            </w:r>
          </w:p>
          <w:p w14:paraId="00B7FD22" w14:textId="77777777" w:rsidR="00CD43BE" w:rsidRDefault="00CD43BE">
            <w:pPr>
              <w:pStyle w:val="BOXbody"/>
              <w:numPr>
                <w:ilvl w:val="0"/>
                <w:numId w:val="13"/>
              </w:numPr>
            </w:pPr>
            <w:r>
              <w:t>ICTP regional support teams</w:t>
            </w:r>
            <w:r w:rsidRPr="00490EA1">
              <w:t xml:space="preserve">, based on their work with </w:t>
            </w:r>
            <w:r>
              <w:t xml:space="preserve">regional </w:t>
            </w:r>
            <w:r w:rsidRPr="00490EA1">
              <w:t xml:space="preserve">Triple P </w:t>
            </w:r>
            <w:r>
              <w:t xml:space="preserve">partners, </w:t>
            </w:r>
          </w:p>
          <w:p w14:paraId="2D76BAE6" w14:textId="77777777" w:rsidR="00CD43BE" w:rsidRDefault="00CD43BE">
            <w:pPr>
              <w:pStyle w:val="BOXbody"/>
              <w:numPr>
                <w:ilvl w:val="0"/>
                <w:numId w:val="13"/>
              </w:numPr>
            </w:pPr>
            <w:r>
              <w:t>records of NCLC meeting questions and conversations, and</w:t>
            </w:r>
          </w:p>
          <w:p w14:paraId="3EECD037" w14:textId="77777777" w:rsidR="00CD43BE" w:rsidRDefault="00CD43BE">
            <w:pPr>
              <w:pStyle w:val="BOXbody"/>
              <w:numPr>
                <w:ilvl w:val="0"/>
                <w:numId w:val="13"/>
              </w:numPr>
            </w:pPr>
            <w:r>
              <w:t>ICTP project team member meetings with Triple P America implementation consultants.</w:t>
            </w:r>
          </w:p>
          <w:p w14:paraId="1DFC97F9" w14:textId="77777777" w:rsidR="00CD43BE" w:rsidRDefault="00CD43BE" w:rsidP="00CD43BE">
            <w:pPr>
              <w:pStyle w:val="BOXbody"/>
            </w:pPr>
          </w:p>
          <w:p w14:paraId="7E5F0059" w14:textId="77777777" w:rsidR="00CD43BE" w:rsidRPr="001A5737" w:rsidRDefault="00CD43BE" w:rsidP="00CD43BE">
            <w:pPr>
              <w:pStyle w:val="BOXbody"/>
              <w:rPr>
                <w:rStyle w:val="Hyperlink"/>
                <w:color w:val="auto"/>
                <w:u w:val="none"/>
              </w:rPr>
            </w:pPr>
            <w:r>
              <w:t>Out of approximately seven topics, including write-ins, ICTP media and networking team members selected the top four:</w:t>
            </w:r>
          </w:p>
          <w:p w14:paraId="70416921" w14:textId="77777777" w:rsidR="00BA31C1" w:rsidRPr="001A5737" w:rsidRDefault="00BA31C1" w:rsidP="00BA31C1">
            <w:pPr>
              <w:pStyle w:val="BOXbody"/>
              <w:rPr>
                <w:rStyle w:val="Hyperlink"/>
              </w:rPr>
            </w:pPr>
            <w:hyperlink r:id="rId9" w:history="1">
              <w:r w:rsidRPr="001A5737">
                <w:rPr>
                  <w:rStyle w:val="Hyperlink"/>
                  <w:rFonts w:eastAsiaTheme="majorEastAsia"/>
                </w:rPr>
                <w:t>September 2022</w:t>
              </w:r>
            </w:hyperlink>
            <w:r w:rsidRPr="001A5737">
              <w:rPr>
                <w:rStyle w:val="Hyperlink"/>
              </w:rPr>
              <w:t> </w:t>
            </w:r>
            <w:r w:rsidRPr="001A5737">
              <w:rPr>
                <w:rStyle w:val="Hyperlink"/>
                <w:rFonts w:eastAsiaTheme="majorEastAsia"/>
              </w:rPr>
              <w:t>Building Community Coalitions</w:t>
            </w:r>
          </w:p>
          <w:p w14:paraId="186B061C" w14:textId="3D7A5535" w:rsidR="00BA31C1" w:rsidRPr="0004272D" w:rsidRDefault="0004272D" w:rsidP="00BA31C1">
            <w:pPr>
              <w:pStyle w:val="BOXbody"/>
              <w:rPr>
                <w:rStyle w:val="Hyperlink"/>
              </w:rPr>
            </w:pPr>
            <w:r>
              <w:rPr>
                <w:rFonts w:eastAsiaTheme="majorEastAsia"/>
              </w:rPr>
              <w:fldChar w:fldCharType="begin"/>
            </w:r>
            <w:r>
              <w:rPr>
                <w:rFonts w:eastAsiaTheme="majorEastAsia"/>
              </w:rPr>
              <w:instrText>HYPERLINK "https://mailchi.mp/email/implementeer-dec-2022"</w:instrText>
            </w:r>
            <w:r>
              <w:rPr>
                <w:rFonts w:eastAsiaTheme="majorEastAsia"/>
              </w:rPr>
            </w:r>
            <w:r>
              <w:rPr>
                <w:rFonts w:eastAsiaTheme="majorEastAsia"/>
              </w:rPr>
              <w:fldChar w:fldCharType="separate"/>
            </w:r>
            <w:r w:rsidR="00BA31C1" w:rsidRPr="0004272D">
              <w:rPr>
                <w:rStyle w:val="Hyperlink"/>
                <w:rFonts w:eastAsiaTheme="majorEastAsia"/>
              </w:rPr>
              <w:t>December 2022</w:t>
            </w:r>
            <w:r w:rsidR="00BA31C1" w:rsidRPr="0004272D">
              <w:rPr>
                <w:rStyle w:val="Hyperlink"/>
              </w:rPr>
              <w:t xml:space="preserve"> </w:t>
            </w:r>
            <w:r w:rsidR="00BA31C1" w:rsidRPr="0004272D">
              <w:rPr>
                <w:rStyle w:val="Hyperlink"/>
                <w:rFonts w:eastAsiaTheme="majorEastAsia"/>
              </w:rPr>
              <w:t>Honoring Family and Community Voices</w:t>
            </w:r>
          </w:p>
          <w:p w14:paraId="5CD62208" w14:textId="6E2F66A2" w:rsidR="00BA31C1" w:rsidRPr="0004272D" w:rsidRDefault="0004272D" w:rsidP="00BA31C1">
            <w:pPr>
              <w:pStyle w:val="BOXbody"/>
              <w:rPr>
                <w:rStyle w:val="Hyperlink"/>
              </w:rPr>
            </w:pPr>
            <w:r>
              <w:rPr>
                <w:rFonts w:eastAsiaTheme="majorEastAsia"/>
              </w:rPr>
              <w:fldChar w:fldCharType="end"/>
            </w:r>
            <w:r>
              <w:rPr>
                <w:rFonts w:eastAsiaTheme="majorEastAsia"/>
              </w:rPr>
              <w:fldChar w:fldCharType="begin"/>
            </w:r>
            <w:r>
              <w:rPr>
                <w:rFonts w:eastAsiaTheme="majorEastAsia"/>
              </w:rPr>
              <w:instrText>HYPERLINK "https://mailchi.mp/email/implementeer-march2023"</w:instrText>
            </w:r>
            <w:r>
              <w:rPr>
                <w:rFonts w:eastAsiaTheme="majorEastAsia"/>
              </w:rPr>
            </w:r>
            <w:r>
              <w:rPr>
                <w:rFonts w:eastAsiaTheme="majorEastAsia"/>
              </w:rPr>
              <w:fldChar w:fldCharType="separate"/>
            </w:r>
            <w:r w:rsidR="00BA31C1" w:rsidRPr="0004272D">
              <w:rPr>
                <w:rStyle w:val="Hyperlink"/>
                <w:rFonts w:eastAsiaTheme="majorEastAsia"/>
              </w:rPr>
              <w:t>March 2023</w:t>
            </w:r>
            <w:r w:rsidR="00BA31C1" w:rsidRPr="0004272D">
              <w:rPr>
                <w:rStyle w:val="Hyperlink"/>
              </w:rPr>
              <w:t> </w:t>
            </w:r>
            <w:r w:rsidR="00BA31C1" w:rsidRPr="0004272D">
              <w:rPr>
                <w:rStyle w:val="Hyperlink"/>
                <w:rFonts w:eastAsiaTheme="minorHAnsi"/>
              </w:rPr>
              <w:t>Creating a Shared Triple P Vision</w:t>
            </w:r>
          </w:p>
          <w:p w14:paraId="1DE48026" w14:textId="0FD21864" w:rsidR="00BA31C1" w:rsidRPr="00B45ED6" w:rsidRDefault="0004272D" w:rsidP="00BA31C1">
            <w:pPr>
              <w:pStyle w:val="BOXbody"/>
              <w:rPr>
                <w:rStyle w:val="Hyperlink"/>
              </w:rPr>
            </w:pPr>
            <w:r>
              <w:rPr>
                <w:rFonts w:eastAsiaTheme="majorEastAsia"/>
              </w:rPr>
              <w:fldChar w:fldCharType="end"/>
            </w:r>
            <w:r w:rsidR="00BA31C1">
              <w:rPr>
                <w:rFonts w:eastAsiaTheme="majorEastAsia"/>
              </w:rPr>
              <w:fldChar w:fldCharType="begin"/>
            </w:r>
            <w:r w:rsidR="00BA31C1">
              <w:rPr>
                <w:rFonts w:eastAsiaTheme="majorEastAsia"/>
              </w:rPr>
              <w:instrText>HYPERLINK "https://mailchi.mp/email/implementeer-june2023-17040198"</w:instrText>
            </w:r>
            <w:r w:rsidR="00BA31C1">
              <w:rPr>
                <w:rFonts w:eastAsiaTheme="majorEastAsia"/>
              </w:rPr>
            </w:r>
            <w:r w:rsidR="00BA31C1">
              <w:rPr>
                <w:rFonts w:eastAsiaTheme="majorEastAsia"/>
              </w:rPr>
              <w:fldChar w:fldCharType="separate"/>
            </w:r>
            <w:r w:rsidR="00BA31C1" w:rsidRPr="00B45ED6">
              <w:rPr>
                <w:rStyle w:val="Hyperlink"/>
                <w:rFonts w:eastAsiaTheme="majorEastAsia"/>
              </w:rPr>
              <w:t>June 2023</w:t>
            </w:r>
            <w:r w:rsidR="00BA31C1" w:rsidRPr="00B45ED6">
              <w:rPr>
                <w:rStyle w:val="Hyperlink"/>
              </w:rPr>
              <w:t xml:space="preserve"> 10 Things I Hate about Data</w:t>
            </w:r>
          </w:p>
          <w:p w14:paraId="2A2DB01B" w14:textId="6214F337" w:rsidR="00CD43BE" w:rsidRPr="00CD43BE" w:rsidRDefault="00BA31C1" w:rsidP="00BA31C1">
            <w:pPr>
              <w:pStyle w:val="BOXbody"/>
            </w:pPr>
            <w:r>
              <w:rPr>
                <w:rFonts w:eastAsiaTheme="majorEastAsia"/>
              </w:rPr>
              <w:lastRenderedPageBreak/>
              <w:fldChar w:fldCharType="end"/>
            </w:r>
            <w:r w:rsidR="00CD43BE">
              <w:t>These issues generally followed a sequential pattern around community engagement and visioning and included stories from key network leaders and community Triple P implementation teams.</w:t>
            </w:r>
          </w:p>
        </w:tc>
      </w:tr>
    </w:tbl>
    <w:p w14:paraId="35173B89" w14:textId="157C122B" w:rsidR="00065881" w:rsidRDefault="0004272D" w:rsidP="0004272D">
      <w:pPr>
        <w:rPr>
          <w:rFonts w:eastAsia="Libre Baskerville"/>
        </w:rPr>
      </w:pPr>
      <w:r>
        <w:lastRenderedPageBreak/>
        <w:br/>
      </w:r>
      <w:r w:rsidR="001A5737">
        <w:t xml:space="preserve">While media and communications efforts might directly target community Triple P leaders and implementation teams (the red arrows in Figure 9.1), these efforts also help the broader network of co-creation partners to create secondary influences, strengthening the entire network (the blue arrows and circles in </w:t>
      </w:r>
      <w:hyperlink w:anchor="Figure9pointOne" w:history="1">
        <w:r w:rsidR="001A5737" w:rsidRPr="00815A49">
          <w:rPr>
            <w:rStyle w:val="Hyperlink"/>
          </w:rPr>
          <w:t>Figure 9.1</w:t>
        </w:r>
      </w:hyperlink>
      <w:r w:rsidR="001A5737" w:rsidRPr="00AD7402">
        <w:t>)</w:t>
      </w:r>
      <w:r w:rsidR="001A5737">
        <w:t>. This is illustrated in the practice example in Box 9.5</w:t>
      </w:r>
      <w:r w:rsidR="001A5737" w:rsidRPr="00AD7402">
        <w:t xml:space="preserve">. Co-creation partners are not typically static groups, but rather interact </w:t>
      </w:r>
      <w:r w:rsidR="001A5737">
        <w:t xml:space="preserve">with </w:t>
      </w:r>
      <w:r w:rsidR="001A5737" w:rsidRPr="00AD7402">
        <w:t xml:space="preserve">and influence each other, creating the possibility for </w:t>
      </w:r>
      <w:r w:rsidR="001A5737">
        <w:t>accelerating social influence and learning</w:t>
      </w:r>
      <w:r w:rsidR="001A5737" w:rsidRPr="00AD7402">
        <w:t xml:space="preserve">. </w:t>
      </w:r>
    </w:p>
    <w:p w14:paraId="56F2C24F" w14:textId="77777777" w:rsidR="008D7673" w:rsidRPr="00CD43BE" w:rsidRDefault="008D7673" w:rsidP="008D7673">
      <w:pPr>
        <w:rPr>
          <w:rFonts w:eastAsia="Libre Baskerville"/>
        </w:rPr>
      </w:pPr>
    </w:p>
    <w:tbl>
      <w:tblPr>
        <w:tblStyle w:val="TableGrid"/>
        <w:tblW w:w="0" w:type="auto"/>
        <w:tblCellSpacing w:w="20" w:type="dxa"/>
        <w:tblInd w:w="2017" w:type="dxa"/>
        <w:tblBorders>
          <w:top w:val="thinThickLargeGap" w:sz="24" w:space="0" w:color="20BEC7"/>
          <w:left w:val="thinThickLargeGap" w:sz="24" w:space="0" w:color="20BEC7"/>
          <w:bottom w:val="thickThinLargeGap" w:sz="24" w:space="0" w:color="20BEC7"/>
          <w:right w:val="thickThinLargeGap" w:sz="24" w:space="0" w:color="20BEC7"/>
          <w:insideH w:val="none" w:sz="0" w:space="0" w:color="auto"/>
          <w:insideV w:val="none" w:sz="0" w:space="0" w:color="auto"/>
        </w:tblBorders>
        <w:shd w:val="clear" w:color="auto" w:fill="FFFFFF" w:themeFill="background1"/>
        <w:tblLook w:val="04A0" w:firstRow="1" w:lastRow="0" w:firstColumn="1" w:lastColumn="0" w:noHBand="0" w:noVBand="1"/>
      </w:tblPr>
      <w:tblGrid>
        <w:gridCol w:w="7776"/>
      </w:tblGrid>
      <w:tr w:rsidR="00BD747A" w:rsidRPr="008A3F6A" w14:paraId="1089ED9E" w14:textId="77777777" w:rsidTr="00BD747A">
        <w:trPr>
          <w:trHeight w:val="110"/>
          <w:tblCellSpacing w:w="20" w:type="dxa"/>
        </w:trPr>
        <w:tc>
          <w:tcPr>
            <w:tcW w:w="7696" w:type="dxa"/>
            <w:shd w:val="clear" w:color="auto" w:fill="FFFFFF" w:themeFill="background1"/>
          </w:tcPr>
          <w:p w14:paraId="42CD80FE" w14:textId="33B71536" w:rsidR="008D7673" w:rsidRDefault="008D7673" w:rsidP="0004272D">
            <w:pPr>
              <w:pStyle w:val="BOXtitle"/>
            </w:pPr>
            <w:r w:rsidRPr="004D30DC">
              <w:rPr>
                <w:rFonts w:eastAsia="Libre Baskerville"/>
              </w:rPr>
              <w:t xml:space="preserve">Box </w:t>
            </w:r>
            <w:r>
              <w:rPr>
                <w:rFonts w:eastAsia="Libre Baskerville"/>
              </w:rPr>
              <w:t>9</w:t>
            </w:r>
            <w:r w:rsidRPr="004D30DC">
              <w:rPr>
                <w:rFonts w:eastAsia="Libre Baskerville"/>
              </w:rPr>
              <w:t>.</w:t>
            </w:r>
            <w:r>
              <w:rPr>
                <w:rFonts w:eastAsia="Libre Baskerville"/>
              </w:rPr>
              <w:t xml:space="preserve">5 </w:t>
            </w:r>
            <w:r w:rsidRPr="00257E69">
              <w:rPr>
                <w:rFonts w:eastAsia="Libre Baskerville"/>
              </w:rPr>
              <w:t xml:space="preserve">ICTP </w:t>
            </w:r>
            <w:r w:rsidRPr="008D7673">
              <w:rPr>
                <w:rFonts w:eastAsia="Libre Baskerville"/>
                <w:b w:val="0"/>
                <w:bCs w:val="0"/>
              </w:rPr>
              <w:t>Case Example of</w:t>
            </w:r>
            <w:r w:rsidRPr="00257E69">
              <w:rPr>
                <w:rFonts w:eastAsia="Libre Baskerville"/>
              </w:rPr>
              <w:t xml:space="preserve"> </w:t>
            </w:r>
            <w:r w:rsidRPr="001A5737">
              <w:t>Using ICTP Media and Networking Activities to Influence Broader Co-creation Partners and Create Broader System Influences</w:t>
            </w:r>
          </w:p>
          <w:p w14:paraId="6517D51F" w14:textId="77777777" w:rsidR="008D7673" w:rsidRDefault="008D7673" w:rsidP="008D7673">
            <w:pPr>
              <w:pStyle w:val="BOXbody"/>
            </w:pPr>
            <w:r>
              <w:t xml:space="preserve">In 2018 and 2019, ICTP design and consultation specialists used a high-level community Triple P scale-up template developed by partners in South Carolina to model effective implementation </w:t>
            </w:r>
            <w:r w:rsidRPr="00104A98">
              <w:t>design</w:t>
            </w:r>
            <w:r>
              <w:t xml:space="preserve"> strategies to members of the NC Triple P Partnership for Strategy and Governance (PSG). The primary goals of this model activity were to</w:t>
            </w:r>
          </w:p>
          <w:p w14:paraId="5E5805DD" w14:textId="77777777" w:rsidR="008D7673" w:rsidRDefault="008D7673" w:rsidP="008D7673">
            <w:pPr>
              <w:pStyle w:val="BOXbodybullets"/>
            </w:pPr>
            <w:r w:rsidRPr="00873B40">
              <w:t>influence PSG member</w:t>
            </w:r>
            <w:r>
              <w:t>s’</w:t>
            </w:r>
            <w:r w:rsidRPr="00873B40">
              <w:t xml:space="preserve"> attitudes about the acceptability and feasibility of creating a similar system</w:t>
            </w:r>
            <w:r>
              <w:t>-</w:t>
            </w:r>
            <w:r w:rsidRPr="00873B40">
              <w:t>wide Triple P implementation template</w:t>
            </w:r>
            <w:r>
              <w:t xml:space="preserve"> for NC communities</w:t>
            </w:r>
            <w:r w:rsidRPr="00873B40">
              <w:t xml:space="preserve">, </w:t>
            </w:r>
          </w:p>
          <w:p w14:paraId="71E5D5EF" w14:textId="77777777" w:rsidR="008D7673" w:rsidRDefault="008D7673" w:rsidP="008D7673">
            <w:pPr>
              <w:pStyle w:val="BOXbodybullets"/>
            </w:pPr>
            <w:r w:rsidRPr="00873B40">
              <w:t>increase their confidence that they could be responsive to regional Triple P partners</w:t>
            </w:r>
            <w:r>
              <w:t>’</w:t>
            </w:r>
            <w:r w:rsidRPr="00873B40">
              <w:t xml:space="preserve"> requests for such templates</w:t>
            </w:r>
            <w:r>
              <w:t xml:space="preserve">, and </w:t>
            </w:r>
          </w:p>
          <w:p w14:paraId="194D2C2F" w14:textId="10193FF3" w:rsidR="008D7673" w:rsidRDefault="008D7673" w:rsidP="008D7673">
            <w:pPr>
              <w:pStyle w:val="BOXbodybullets"/>
            </w:pPr>
            <w:r>
              <w:t>increase the likelihood that they would request support from NC Triple P Design Team members to facilitate the development of similar templates.</w:t>
            </w:r>
          </w:p>
          <w:p w14:paraId="08BB326B" w14:textId="30538B71" w:rsidR="008D7673" w:rsidRPr="00CD43BE" w:rsidRDefault="008D7673" w:rsidP="0004272D">
            <w:pPr>
              <w:pStyle w:val="BOXbody"/>
            </w:pPr>
            <w:r>
              <w:t xml:space="preserve">These efforts were successful, leading to an invitation for the NC Triple P Design Team to facilitate the PSG’s development of what became the </w:t>
            </w:r>
            <w:hyperlink r:id="rId10" w:tooltip="Brief 1: NC Triple P System Overview, section Scale-Up Plan and Strategic Planning" w:history="1">
              <w:r w:rsidRPr="0011178C">
                <w:rPr>
                  <w:rStyle w:val="Hyperlink"/>
                </w:rPr>
                <w:t>North Carolina Triple P Model Scale-Up Plan</w:t>
              </w:r>
            </w:hyperlink>
            <w:r>
              <w:t>. The NC Triple P Model Scale-Up Plan subsequently influenced regional Triple P partners’ attitudes about effective implementation practices; their development of regional, five-year strategic Triple P scale-up plans; and their support-seeking behaviors with ICTP regional support teams and other Support System members (e.g., Triple P America, Prevent Child Abuse North Carolina).</w:t>
            </w:r>
          </w:p>
        </w:tc>
      </w:tr>
    </w:tbl>
    <w:p w14:paraId="15AD3D6A" w14:textId="77777777" w:rsidR="001A5737" w:rsidRPr="001A5737" w:rsidRDefault="001A5737" w:rsidP="001A5737">
      <w:pPr>
        <w:rPr>
          <w:rFonts w:eastAsia="Libre Baskerville"/>
        </w:rPr>
      </w:pPr>
    </w:p>
    <w:p w14:paraId="282EA925" w14:textId="77777777" w:rsidR="001A5737" w:rsidRDefault="001A5737" w:rsidP="00065881">
      <w:r w:rsidRPr="00AD7402">
        <w:t>Moreover, as discussed above, the influence of media and communications on community Triple P leaders</w:t>
      </w:r>
      <w:r>
        <w:t>’</w:t>
      </w:r>
      <w:r w:rsidRPr="00AD7402">
        <w:t xml:space="preserve"> and teams</w:t>
      </w:r>
      <w:r>
        <w:t>’</w:t>
      </w:r>
      <w:r w:rsidRPr="00AD7402">
        <w:t xml:space="preserve"> implementation knowledge, skills, and abilities and their application of effective implementation </w:t>
      </w:r>
      <w:r>
        <w:t>practices</w:t>
      </w:r>
      <w:r w:rsidRPr="00AD7402">
        <w:t xml:space="preserve"> is greatly enhanced by the engagement of direct</w:t>
      </w:r>
      <w:r>
        <w:t>, tailored</w:t>
      </w:r>
      <w:r w:rsidRPr="00AD7402">
        <w:t xml:space="preserve"> support from ISPs (the green arrows and box in Figure </w:t>
      </w:r>
      <w:r>
        <w:t>9.1</w:t>
      </w:r>
      <w:r w:rsidRPr="00AD7402">
        <w:t>).</w:t>
      </w:r>
      <w:r>
        <w:t xml:space="preserve"> Altogether, these influences may accelerate intended effects on longer-term practice outcomes, such as implementation capacity and performance. </w:t>
      </w:r>
    </w:p>
    <w:p w14:paraId="211BA98A" w14:textId="77777777" w:rsidR="001A5737" w:rsidRDefault="001A5737" w:rsidP="001A5737"/>
    <w:p w14:paraId="3D43D658" w14:textId="77777777" w:rsidR="001A5737" w:rsidRPr="00106514" w:rsidRDefault="001A5737" w:rsidP="001A5737">
      <w:r>
        <w:t xml:space="preserve">The short-term outcomes of ICTP media and networking activities include a variety of attitudes and behaviors that reflect Triple P partners’ readiness to adopt and apply effective implementation practices. For example, by </w:t>
      </w:r>
      <w:r w:rsidRPr="00EB271D">
        <w:t>normalizing partners’ experiences with typical challenges implementing and scaling Triple P,</w:t>
      </w:r>
      <w:r>
        <w:t xml:space="preserve"> ICTP media and networking activities may build Triple P partners’ </w:t>
      </w:r>
      <w:r w:rsidRPr="00A323DE">
        <w:t>resiliency</w:t>
      </w:r>
      <w:r w:rsidRPr="00106514">
        <w:t xml:space="preserve">. By highlighting partners’ use of effective implementation practices, their successes, and case examples from similar implementation efforts, ICTP media and networking activities may contribute to partners’ </w:t>
      </w:r>
      <w:r w:rsidRPr="00A323DE">
        <w:t>awareness and perceived relevance of effective implementation practices</w:t>
      </w:r>
      <w:r w:rsidRPr="00106514">
        <w:t xml:space="preserve">. Furthermore, they may shape partners’ </w:t>
      </w:r>
      <w:r w:rsidRPr="00A323DE">
        <w:t xml:space="preserve">motivation to adopt similar implementation strategies </w:t>
      </w:r>
      <w:r w:rsidRPr="00106514">
        <w:t xml:space="preserve">and </w:t>
      </w:r>
      <w:r w:rsidRPr="00A323DE">
        <w:t>confidence that they can be utilized with good effect</w:t>
      </w:r>
      <w:r w:rsidRPr="00106514">
        <w:t xml:space="preserve">. </w:t>
      </w:r>
    </w:p>
    <w:p w14:paraId="6E82C52F" w14:textId="77777777" w:rsidR="001A5737" w:rsidRPr="00106514" w:rsidRDefault="001A5737" w:rsidP="001A5737"/>
    <w:p w14:paraId="29D38666" w14:textId="77777777" w:rsidR="001A5737" w:rsidRPr="00106514" w:rsidRDefault="001A5737" w:rsidP="001A5737">
      <w:r w:rsidRPr="00106514">
        <w:t xml:space="preserve">By embedding a “call to action” in media and communications, ICTP media and networking activities can influence partners’ </w:t>
      </w:r>
      <w:r w:rsidRPr="00A323DE">
        <w:t>support</w:t>
      </w:r>
      <w:r>
        <w:t>-</w:t>
      </w:r>
      <w:r w:rsidRPr="00A323DE">
        <w:t>seeking behaviors, including where to go for more information, collaboration, or direct support</w:t>
      </w:r>
      <w:r w:rsidRPr="00106514">
        <w:t>. Support seeking may afford opportunities to</w:t>
      </w:r>
    </w:p>
    <w:p w14:paraId="32D7C74E" w14:textId="77777777" w:rsidR="001A5737" w:rsidRPr="001A5737" w:rsidRDefault="001A5737" w:rsidP="001A5737">
      <w:pPr>
        <w:pStyle w:val="ListBullet"/>
      </w:pPr>
      <w:r w:rsidRPr="001A5737">
        <w:t xml:space="preserve">reinforce existing connections with ICTP regional support teams and other ISPs and </w:t>
      </w:r>
    </w:p>
    <w:p w14:paraId="1B05C36B" w14:textId="77777777" w:rsidR="001A5737" w:rsidRPr="001A5737" w:rsidRDefault="001A5737" w:rsidP="001A5737">
      <w:pPr>
        <w:pStyle w:val="ListBullet"/>
      </w:pPr>
      <w:r w:rsidRPr="001A5737">
        <w:t>broker connections to peer supports and broader co-creation partners.</w:t>
      </w:r>
    </w:p>
    <w:p w14:paraId="4726AFAB" w14:textId="77777777" w:rsidR="001A5737" w:rsidRDefault="001A5737" w:rsidP="001A5737">
      <w:pPr>
        <w:rPr>
          <w:rFonts w:ascii="Libre Baskerville" w:hAnsi="Libre Baskerville" w:cs="Merriweather"/>
        </w:rPr>
      </w:pPr>
    </w:p>
    <w:p w14:paraId="322E1E1F" w14:textId="77777777" w:rsidR="001A5737" w:rsidRDefault="001A5737" w:rsidP="001A5737">
      <w:r>
        <w:t>In the following two sections, we provide details about current ICTP media and networking activities, including network assessment methods</w:t>
      </w:r>
      <w:r w:rsidRPr="002A0C6D">
        <w:t xml:space="preserve"> </w:t>
      </w:r>
      <w:r>
        <w:t>and</w:t>
      </w:r>
      <w:r w:rsidRPr="002A0C6D">
        <w:t xml:space="preserve"> </w:t>
      </w:r>
      <w:r>
        <w:t>media and communications channels.</w:t>
      </w:r>
    </w:p>
    <w:p w14:paraId="5E6C4724" w14:textId="77777777" w:rsidR="001A5737" w:rsidRDefault="001A5737" w:rsidP="006E7448"/>
    <w:p w14:paraId="0662A4BC" w14:textId="631DFA61" w:rsidR="00853C29" w:rsidRPr="008C22C4" w:rsidRDefault="00853C29" w:rsidP="00865165">
      <w:pPr>
        <w:pStyle w:val="Heading2"/>
        <w:spacing w:before="240"/>
      </w:pPr>
    </w:p>
    <w:sectPr w:rsidR="00853C29" w:rsidRPr="008C22C4" w:rsidSect="00D23DFC">
      <w:headerReference w:type="default" r:id="rId11"/>
      <w:footerReference w:type="default" r:id="rId12"/>
      <w:pgSz w:w="12240" w:h="15840"/>
      <w:pgMar w:top="1413" w:right="1080" w:bottom="1829" w:left="1080" w:header="720" w:footer="792" w:gutter="0"/>
      <w:pgNumType w:start="8"/>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E0B6" w14:textId="77777777" w:rsidR="001205C8" w:rsidRDefault="001205C8" w:rsidP="005F3829">
      <w:r>
        <w:separator/>
      </w:r>
    </w:p>
  </w:endnote>
  <w:endnote w:type="continuationSeparator" w:id="0">
    <w:p w14:paraId="2C3DA358" w14:textId="77777777" w:rsidR="001205C8" w:rsidRDefault="001205C8"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Merriweather">
    <w:panose1 w:val="02000000000000000000"/>
    <w:charset w:val="4D"/>
    <w:family w:val="auto"/>
    <w:pitch w:val="variable"/>
    <w:sig w:usb0="20000207" w:usb1="00000002" w:usb2="00000000" w:usb3="00000000" w:csb0="00000197"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1E23967F" w14:textId="123084B1"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7F4852">
          <w:rPr>
            <w:rFonts w:eastAsia="Lato" w:cs="Open Sans"/>
            <w:color w:val="002060"/>
            <w:sz w:val="20"/>
            <w:szCs w:val="20"/>
          </w:rPr>
          <w:t xml:space="preserve">ICTP </w:t>
        </w:r>
        <w:r w:rsidR="00792BF6">
          <w:rPr>
            <w:rFonts w:eastAsia="Lato" w:cs="Open Sans"/>
            <w:color w:val="002060"/>
            <w:sz w:val="20"/>
            <w:szCs w:val="20"/>
          </w:rPr>
          <w:t>MEDIA AND NETWORKING ACTIVITIES</w:t>
        </w:r>
      </w:p>
      <w:p w14:paraId="56513DA8"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E8E5" w14:textId="77777777" w:rsidR="001205C8" w:rsidRDefault="001205C8" w:rsidP="005F3829">
      <w:r>
        <w:separator/>
      </w:r>
    </w:p>
  </w:footnote>
  <w:footnote w:type="continuationSeparator" w:id="0">
    <w:p w14:paraId="70626F36" w14:textId="77777777" w:rsidR="001205C8" w:rsidRDefault="001205C8"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C3D3" w14:textId="04C43ED1" w:rsidR="00C452BC" w:rsidRDefault="00C452BC">
    <w:pPr>
      <w:pStyle w:val="Header"/>
    </w:pPr>
    <w:r>
      <w:rPr>
        <w:noProof/>
      </w:rPr>
      <mc:AlternateContent>
        <mc:Choice Requires="wps">
          <w:drawing>
            <wp:anchor distT="0" distB="0" distL="114300" distR="114300" simplePos="0" relativeHeight="251659264" behindDoc="0" locked="0" layoutInCell="1" allowOverlap="1" wp14:anchorId="77AA90A5" wp14:editId="513E4AF3">
              <wp:simplePos x="0" y="0"/>
              <wp:positionH relativeFrom="column">
                <wp:posOffset>0</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0160E6A" w14:textId="77777777" w:rsidR="00C452BC" w:rsidRDefault="00C452BC" w:rsidP="00C452BC">
                          <w:pPr>
                            <w:ind w:left="0"/>
                            <w:jc w:val="center"/>
                            <w:rPr>
                              <w:sz w:val="13"/>
                              <w:szCs w:val="13"/>
                            </w:rPr>
                          </w:pPr>
                          <w:r w:rsidRPr="0061580A">
                            <w:rPr>
                              <w:sz w:val="13"/>
                              <w:szCs w:val="13"/>
                            </w:rPr>
                            <w:t>BRIEF</w:t>
                          </w:r>
                        </w:p>
                        <w:p w14:paraId="3933AF5B" w14:textId="48F23A90" w:rsidR="00C452BC" w:rsidRDefault="00C452BC" w:rsidP="00C452BC">
                          <w:pPr>
                            <w:ind w:left="0"/>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77AA90A5" id="Rectangle 1" o:spid="_x0000_s1026" style="position:absolute;left:0;text-align:left;margin-left:0;margin-top:-34.05pt;width:40.05pt;height:3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" fillcolor="#384975" stroked="f" strokeweight="1pt">
              <v:textbox>
                <w:txbxContent>
                  <w:p w14:paraId="10160E6A" w14:textId="77777777" w:rsidR="00C452BC" w:rsidRDefault="00C452BC" w:rsidP="00C452BC">
                    <w:pPr>
                      <w:ind w:left="0"/>
                      <w:jc w:val="center"/>
                      <w:rPr>
                        <w:sz w:val="13"/>
                        <w:szCs w:val="13"/>
                      </w:rPr>
                    </w:pPr>
                    <w:r w:rsidRPr="0061580A">
                      <w:rPr>
                        <w:sz w:val="13"/>
                        <w:szCs w:val="13"/>
                      </w:rPr>
                      <w:t>BRIEF</w:t>
                    </w:r>
                  </w:p>
                  <w:p w14:paraId="3933AF5B" w14:textId="48F23A90" w:rsidR="00C452BC" w:rsidRDefault="00C452BC" w:rsidP="00C452BC">
                    <w:pPr>
                      <w:ind w:left="0"/>
                      <w:jc w:val="center"/>
                    </w:pPr>
                    <w:r>
                      <w:t>9</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6FEF"/>
    <w:multiLevelType w:val="hybridMultilevel"/>
    <w:tmpl w:val="E18433E6"/>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15:restartNumberingAfterBreak="0">
    <w:nsid w:val="09B34112"/>
    <w:multiLevelType w:val="hybridMultilevel"/>
    <w:tmpl w:val="1A68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86E9B"/>
    <w:multiLevelType w:val="hybridMultilevel"/>
    <w:tmpl w:val="0A04A3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AB50AF6"/>
    <w:multiLevelType w:val="hybridMultilevel"/>
    <w:tmpl w:val="2350FE54"/>
    <w:lvl w:ilvl="0" w:tplc="A736439C">
      <w:start w:val="1"/>
      <w:numFmt w:val="decimal"/>
      <w:pStyle w:val="Style1numbredbrief9"/>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2155A07"/>
    <w:multiLevelType w:val="hybridMultilevel"/>
    <w:tmpl w:val="769CD5C2"/>
    <w:lvl w:ilvl="0" w:tplc="3148EE2E">
      <w:start w:val="1"/>
      <w:numFmt w:val="bullet"/>
      <w:pStyle w:val="calloutBoxBullet-SUB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304ED8"/>
    <w:multiLevelType w:val="hybridMultilevel"/>
    <w:tmpl w:val="763C371E"/>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93B4D"/>
    <w:multiLevelType w:val="hybridMultilevel"/>
    <w:tmpl w:val="4F76FA62"/>
    <w:lvl w:ilvl="0" w:tplc="04090003">
      <w:start w:val="1"/>
      <w:numFmt w:val="bullet"/>
      <w:lvlText w:val="o"/>
      <w:lvlJc w:val="left"/>
      <w:pPr>
        <w:ind w:left="885" w:hanging="360"/>
      </w:pPr>
      <w:rPr>
        <w:rFonts w:ascii="Courier New" w:hAnsi="Courier New" w:cs="Courier New"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0" w15:restartNumberingAfterBreak="0">
    <w:nsid w:val="4E4A3E6B"/>
    <w:multiLevelType w:val="hybridMultilevel"/>
    <w:tmpl w:val="ECD691FA"/>
    <w:lvl w:ilvl="0" w:tplc="0409000F">
      <w:start w:val="1"/>
      <w:numFmt w:val="decimal"/>
      <w:lvlText w:val="%1."/>
      <w:lvlJc w:val="left"/>
      <w:pPr>
        <w:ind w:left="2880" w:hanging="360"/>
      </w:pPr>
      <w:rPr>
        <w:rFonts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1" w15:restartNumberingAfterBreak="0">
    <w:nsid w:val="4F7E67F3"/>
    <w:multiLevelType w:val="hybridMultilevel"/>
    <w:tmpl w:val="AD040BC6"/>
    <w:lvl w:ilvl="0" w:tplc="F034C14A">
      <w:start w:val="1"/>
      <w:numFmt w:val="decimal"/>
      <w:pStyle w:val="referenceBody"/>
      <w:lvlText w:val="[%1]"/>
      <w:lvlJc w:val="left"/>
      <w:pPr>
        <w:ind w:left="1620" w:hanging="360"/>
      </w:pPr>
      <w:rPr>
        <w:rFonts w:asciiTheme="minorHAnsi" w:hAnsiTheme="minorHAnsi" w:cstheme="minorHAnsi" w:hint="default"/>
        <w:b w:val="0"/>
        <w:bCs w:val="0"/>
        <w:color w:val="auto"/>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2" w15:restartNumberingAfterBreak="0">
    <w:nsid w:val="511A29E0"/>
    <w:multiLevelType w:val="multilevel"/>
    <w:tmpl w:val="2D8830A8"/>
    <w:styleLink w:val="CurrentList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B14D1F"/>
    <w:multiLevelType w:val="hybridMultilevel"/>
    <w:tmpl w:val="802468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EA0715"/>
    <w:multiLevelType w:val="hybridMultilevel"/>
    <w:tmpl w:val="CC6CFA3C"/>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62FE6393"/>
    <w:multiLevelType w:val="multilevel"/>
    <w:tmpl w:val="AE6A85EC"/>
    <w:styleLink w:val="CurrentList6"/>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CD921B2"/>
    <w:multiLevelType w:val="hybridMultilevel"/>
    <w:tmpl w:val="9E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4215D3"/>
    <w:multiLevelType w:val="hybridMultilevel"/>
    <w:tmpl w:val="710672B6"/>
    <w:lvl w:ilvl="0" w:tplc="5338FD58">
      <w:start w:val="1"/>
      <w:numFmt w:val="bullet"/>
      <w:pStyle w:val="BOXbodybullets"/>
      <w:lvlText w:val="o"/>
      <w:lvlJc w:val="left"/>
      <w:pPr>
        <w:ind w:left="885" w:hanging="360"/>
      </w:pPr>
      <w:rPr>
        <w:rFonts w:ascii="Courier New" w:hAnsi="Courier New" w:cs="Courier New"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0" w15:restartNumberingAfterBreak="0">
    <w:nsid w:val="7C051DF5"/>
    <w:multiLevelType w:val="hybridMultilevel"/>
    <w:tmpl w:val="F0660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63DCD"/>
    <w:multiLevelType w:val="hybridMultilevel"/>
    <w:tmpl w:val="A8B46CE4"/>
    <w:lvl w:ilvl="0" w:tplc="D5E09DC2">
      <w:start w:val="1"/>
      <w:numFmt w:val="bullet"/>
      <w:pStyle w:val="ListBulletSUB"/>
      <w:lvlText w:val="o"/>
      <w:lvlJc w:val="left"/>
      <w:pPr>
        <w:ind w:left="144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6877472">
    <w:abstractNumId w:val="18"/>
  </w:num>
  <w:num w:numId="2" w16cid:durableId="1573924017">
    <w:abstractNumId w:val="5"/>
  </w:num>
  <w:num w:numId="3" w16cid:durableId="442841348">
    <w:abstractNumId w:val="16"/>
  </w:num>
  <w:num w:numId="4" w16cid:durableId="1473205752">
    <w:abstractNumId w:val="8"/>
  </w:num>
  <w:num w:numId="5" w16cid:durableId="2119593424">
    <w:abstractNumId w:val="2"/>
  </w:num>
  <w:num w:numId="6" w16cid:durableId="1026907260">
    <w:abstractNumId w:val="15"/>
  </w:num>
  <w:num w:numId="7" w16cid:durableId="1047148661">
    <w:abstractNumId w:val="12"/>
  </w:num>
  <w:num w:numId="8" w16cid:durableId="212930219">
    <w:abstractNumId w:val="7"/>
  </w:num>
  <w:num w:numId="9" w16cid:durableId="669405057">
    <w:abstractNumId w:val="21"/>
  </w:num>
  <w:num w:numId="10" w16cid:durableId="708576956">
    <w:abstractNumId w:val="4"/>
  </w:num>
  <w:num w:numId="11" w16cid:durableId="532577533">
    <w:abstractNumId w:val="9"/>
  </w:num>
  <w:num w:numId="12" w16cid:durableId="1159737243">
    <w:abstractNumId w:val="0"/>
  </w:num>
  <w:num w:numId="13" w16cid:durableId="9912300">
    <w:abstractNumId w:val="19"/>
  </w:num>
  <w:num w:numId="14" w16cid:durableId="761993782">
    <w:abstractNumId w:val="11"/>
  </w:num>
  <w:num w:numId="15" w16cid:durableId="409929883">
    <w:abstractNumId w:val="6"/>
  </w:num>
  <w:num w:numId="16" w16cid:durableId="1262839864">
    <w:abstractNumId w:val="1"/>
  </w:num>
  <w:num w:numId="17" w16cid:durableId="107504979">
    <w:abstractNumId w:val="17"/>
  </w:num>
  <w:num w:numId="18" w16cid:durableId="753627256">
    <w:abstractNumId w:val="20"/>
  </w:num>
  <w:num w:numId="19" w16cid:durableId="1144351689">
    <w:abstractNumId w:val="13"/>
  </w:num>
  <w:num w:numId="20" w16cid:durableId="1512797604">
    <w:abstractNumId w:val="14"/>
  </w:num>
  <w:num w:numId="21" w16cid:durableId="550070249">
    <w:abstractNumId w:val="3"/>
  </w:num>
  <w:num w:numId="22" w16cid:durableId="126900323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90"/>
    <w:rsid w:val="00001A3C"/>
    <w:rsid w:val="0000345F"/>
    <w:rsid w:val="00021BA9"/>
    <w:rsid w:val="00024A9D"/>
    <w:rsid w:val="00025CFB"/>
    <w:rsid w:val="00035F7D"/>
    <w:rsid w:val="00041161"/>
    <w:rsid w:val="0004272D"/>
    <w:rsid w:val="000436C9"/>
    <w:rsid w:val="00065645"/>
    <w:rsid w:val="00065881"/>
    <w:rsid w:val="00071496"/>
    <w:rsid w:val="00077C9B"/>
    <w:rsid w:val="00081BE1"/>
    <w:rsid w:val="00086FED"/>
    <w:rsid w:val="00091485"/>
    <w:rsid w:val="000935D4"/>
    <w:rsid w:val="000A0D7C"/>
    <w:rsid w:val="000A65A5"/>
    <w:rsid w:val="000B5263"/>
    <w:rsid w:val="000D1724"/>
    <w:rsid w:val="000E0EA3"/>
    <w:rsid w:val="000F791B"/>
    <w:rsid w:val="00100ACF"/>
    <w:rsid w:val="00103DF4"/>
    <w:rsid w:val="00110010"/>
    <w:rsid w:val="0011178C"/>
    <w:rsid w:val="001205C8"/>
    <w:rsid w:val="00127B18"/>
    <w:rsid w:val="00131953"/>
    <w:rsid w:val="00132045"/>
    <w:rsid w:val="00137C2C"/>
    <w:rsid w:val="00140E60"/>
    <w:rsid w:val="00152450"/>
    <w:rsid w:val="00156841"/>
    <w:rsid w:val="00191650"/>
    <w:rsid w:val="001A122C"/>
    <w:rsid w:val="001A5737"/>
    <w:rsid w:val="001B3110"/>
    <w:rsid w:val="001B53EB"/>
    <w:rsid w:val="001C5AC8"/>
    <w:rsid w:val="001E06EC"/>
    <w:rsid w:val="001E43C5"/>
    <w:rsid w:val="001F4F1F"/>
    <w:rsid w:val="001F7E83"/>
    <w:rsid w:val="00207D35"/>
    <w:rsid w:val="002116F7"/>
    <w:rsid w:val="00214BDF"/>
    <w:rsid w:val="00230CAC"/>
    <w:rsid w:val="00245ACC"/>
    <w:rsid w:val="00265F66"/>
    <w:rsid w:val="00274EB0"/>
    <w:rsid w:val="002938A9"/>
    <w:rsid w:val="00297814"/>
    <w:rsid w:val="002A5798"/>
    <w:rsid w:val="002A7CD7"/>
    <w:rsid w:val="002A7D42"/>
    <w:rsid w:val="002D2E15"/>
    <w:rsid w:val="002E0546"/>
    <w:rsid w:val="002E6E87"/>
    <w:rsid w:val="002F02AE"/>
    <w:rsid w:val="002F0BFC"/>
    <w:rsid w:val="002F3C1D"/>
    <w:rsid w:val="0031368E"/>
    <w:rsid w:val="0033373A"/>
    <w:rsid w:val="00345F29"/>
    <w:rsid w:val="0034610F"/>
    <w:rsid w:val="003562E9"/>
    <w:rsid w:val="00362DA3"/>
    <w:rsid w:val="00390120"/>
    <w:rsid w:val="003D45D3"/>
    <w:rsid w:val="003D5CEB"/>
    <w:rsid w:val="00400456"/>
    <w:rsid w:val="00437681"/>
    <w:rsid w:val="00443169"/>
    <w:rsid w:val="00444995"/>
    <w:rsid w:val="004477B8"/>
    <w:rsid w:val="004477F0"/>
    <w:rsid w:val="004515BC"/>
    <w:rsid w:val="0045167A"/>
    <w:rsid w:val="00465DEC"/>
    <w:rsid w:val="004668B0"/>
    <w:rsid w:val="0047287D"/>
    <w:rsid w:val="00473E69"/>
    <w:rsid w:val="004836BB"/>
    <w:rsid w:val="0048504D"/>
    <w:rsid w:val="00495E90"/>
    <w:rsid w:val="004974C5"/>
    <w:rsid w:val="004A20EF"/>
    <w:rsid w:val="004A2489"/>
    <w:rsid w:val="004C7726"/>
    <w:rsid w:val="004C7BC2"/>
    <w:rsid w:val="004D15F9"/>
    <w:rsid w:val="004E3CDE"/>
    <w:rsid w:val="004E50F5"/>
    <w:rsid w:val="004E656A"/>
    <w:rsid w:val="004F1E39"/>
    <w:rsid w:val="004F3458"/>
    <w:rsid w:val="004F4BE3"/>
    <w:rsid w:val="00500725"/>
    <w:rsid w:val="005041CD"/>
    <w:rsid w:val="00510884"/>
    <w:rsid w:val="00536F5E"/>
    <w:rsid w:val="00550E57"/>
    <w:rsid w:val="00561EFE"/>
    <w:rsid w:val="00562892"/>
    <w:rsid w:val="005655C2"/>
    <w:rsid w:val="00570D30"/>
    <w:rsid w:val="005835D8"/>
    <w:rsid w:val="00594461"/>
    <w:rsid w:val="00595E61"/>
    <w:rsid w:val="0059787D"/>
    <w:rsid w:val="005B308E"/>
    <w:rsid w:val="005B3C1A"/>
    <w:rsid w:val="005C1D29"/>
    <w:rsid w:val="005C6370"/>
    <w:rsid w:val="005C676B"/>
    <w:rsid w:val="005E0AFF"/>
    <w:rsid w:val="005E5A99"/>
    <w:rsid w:val="005F3829"/>
    <w:rsid w:val="006057C3"/>
    <w:rsid w:val="006159D8"/>
    <w:rsid w:val="00623929"/>
    <w:rsid w:val="00624933"/>
    <w:rsid w:val="00627CCD"/>
    <w:rsid w:val="0063477C"/>
    <w:rsid w:val="00642B0D"/>
    <w:rsid w:val="00644942"/>
    <w:rsid w:val="00646187"/>
    <w:rsid w:val="006539AB"/>
    <w:rsid w:val="0066240F"/>
    <w:rsid w:val="006707EF"/>
    <w:rsid w:val="006758D5"/>
    <w:rsid w:val="00675E63"/>
    <w:rsid w:val="00695CC3"/>
    <w:rsid w:val="00695E8D"/>
    <w:rsid w:val="006A5B3F"/>
    <w:rsid w:val="006A6FAD"/>
    <w:rsid w:val="006B2C82"/>
    <w:rsid w:val="006C4379"/>
    <w:rsid w:val="006C5240"/>
    <w:rsid w:val="006D39A7"/>
    <w:rsid w:val="006D3D88"/>
    <w:rsid w:val="006E7448"/>
    <w:rsid w:val="006F2507"/>
    <w:rsid w:val="006F5DDB"/>
    <w:rsid w:val="006F7AFB"/>
    <w:rsid w:val="00713065"/>
    <w:rsid w:val="0071347A"/>
    <w:rsid w:val="00726376"/>
    <w:rsid w:val="00735C42"/>
    <w:rsid w:val="00745E42"/>
    <w:rsid w:val="0076361D"/>
    <w:rsid w:val="00772A8A"/>
    <w:rsid w:val="00781718"/>
    <w:rsid w:val="00792BF6"/>
    <w:rsid w:val="007A0E11"/>
    <w:rsid w:val="007B02FD"/>
    <w:rsid w:val="007E2F7E"/>
    <w:rsid w:val="007F4852"/>
    <w:rsid w:val="007F5A34"/>
    <w:rsid w:val="008050BF"/>
    <w:rsid w:val="00815A49"/>
    <w:rsid w:val="0082242D"/>
    <w:rsid w:val="00831AF9"/>
    <w:rsid w:val="00851604"/>
    <w:rsid w:val="00853C29"/>
    <w:rsid w:val="00856661"/>
    <w:rsid w:val="00865165"/>
    <w:rsid w:val="00873875"/>
    <w:rsid w:val="008A0824"/>
    <w:rsid w:val="008B76D1"/>
    <w:rsid w:val="008C22C4"/>
    <w:rsid w:val="008C29B5"/>
    <w:rsid w:val="008D7673"/>
    <w:rsid w:val="008E43E7"/>
    <w:rsid w:val="008F0C5F"/>
    <w:rsid w:val="008F12BB"/>
    <w:rsid w:val="008F52B4"/>
    <w:rsid w:val="0090628E"/>
    <w:rsid w:val="009112D9"/>
    <w:rsid w:val="00924435"/>
    <w:rsid w:val="00940359"/>
    <w:rsid w:val="00940BB8"/>
    <w:rsid w:val="00957688"/>
    <w:rsid w:val="00963B1C"/>
    <w:rsid w:val="009679D3"/>
    <w:rsid w:val="00972233"/>
    <w:rsid w:val="0097475F"/>
    <w:rsid w:val="00996BC5"/>
    <w:rsid w:val="009B5DE6"/>
    <w:rsid w:val="009D007D"/>
    <w:rsid w:val="009D0D4B"/>
    <w:rsid w:val="009E6938"/>
    <w:rsid w:val="009F582C"/>
    <w:rsid w:val="00A041B2"/>
    <w:rsid w:val="00A25946"/>
    <w:rsid w:val="00A36CF7"/>
    <w:rsid w:val="00A36E8E"/>
    <w:rsid w:val="00A44581"/>
    <w:rsid w:val="00A519D9"/>
    <w:rsid w:val="00A90EE2"/>
    <w:rsid w:val="00A97B53"/>
    <w:rsid w:val="00AA2423"/>
    <w:rsid w:val="00AA25E7"/>
    <w:rsid w:val="00AA3A35"/>
    <w:rsid w:val="00AB3577"/>
    <w:rsid w:val="00AC644E"/>
    <w:rsid w:val="00AC707E"/>
    <w:rsid w:val="00AD08C0"/>
    <w:rsid w:val="00AE5B78"/>
    <w:rsid w:val="00AE5F4D"/>
    <w:rsid w:val="00AE6A64"/>
    <w:rsid w:val="00AE7436"/>
    <w:rsid w:val="00AF1195"/>
    <w:rsid w:val="00AF1A5D"/>
    <w:rsid w:val="00AF4825"/>
    <w:rsid w:val="00B01A12"/>
    <w:rsid w:val="00B06592"/>
    <w:rsid w:val="00B14237"/>
    <w:rsid w:val="00B215A7"/>
    <w:rsid w:val="00B32BBC"/>
    <w:rsid w:val="00B53A89"/>
    <w:rsid w:val="00B55AD0"/>
    <w:rsid w:val="00B600B4"/>
    <w:rsid w:val="00B62991"/>
    <w:rsid w:val="00B661F5"/>
    <w:rsid w:val="00B85377"/>
    <w:rsid w:val="00BA019A"/>
    <w:rsid w:val="00BA1F88"/>
    <w:rsid w:val="00BA31C1"/>
    <w:rsid w:val="00BA483A"/>
    <w:rsid w:val="00BC3F4A"/>
    <w:rsid w:val="00BC67E3"/>
    <w:rsid w:val="00BD49DA"/>
    <w:rsid w:val="00BD61AC"/>
    <w:rsid w:val="00BD747A"/>
    <w:rsid w:val="00BE2F8C"/>
    <w:rsid w:val="00BF485A"/>
    <w:rsid w:val="00C020A9"/>
    <w:rsid w:val="00C07174"/>
    <w:rsid w:val="00C07AA8"/>
    <w:rsid w:val="00C22C50"/>
    <w:rsid w:val="00C303CA"/>
    <w:rsid w:val="00C32ECA"/>
    <w:rsid w:val="00C452BC"/>
    <w:rsid w:val="00C52B65"/>
    <w:rsid w:val="00C55543"/>
    <w:rsid w:val="00C62567"/>
    <w:rsid w:val="00C64698"/>
    <w:rsid w:val="00C66CE8"/>
    <w:rsid w:val="00C81947"/>
    <w:rsid w:val="00C835EC"/>
    <w:rsid w:val="00C90063"/>
    <w:rsid w:val="00C92E06"/>
    <w:rsid w:val="00C93290"/>
    <w:rsid w:val="00CA3616"/>
    <w:rsid w:val="00CB2CAB"/>
    <w:rsid w:val="00CB32A7"/>
    <w:rsid w:val="00CC4915"/>
    <w:rsid w:val="00CD0399"/>
    <w:rsid w:val="00CD0B6E"/>
    <w:rsid w:val="00CD43BE"/>
    <w:rsid w:val="00D0354C"/>
    <w:rsid w:val="00D06F1C"/>
    <w:rsid w:val="00D104E0"/>
    <w:rsid w:val="00D14A23"/>
    <w:rsid w:val="00D23DFC"/>
    <w:rsid w:val="00D26B84"/>
    <w:rsid w:val="00D3556B"/>
    <w:rsid w:val="00D3777C"/>
    <w:rsid w:val="00D54EFD"/>
    <w:rsid w:val="00D679D1"/>
    <w:rsid w:val="00D87CDA"/>
    <w:rsid w:val="00D931CD"/>
    <w:rsid w:val="00DA0E12"/>
    <w:rsid w:val="00DA2551"/>
    <w:rsid w:val="00DB46ED"/>
    <w:rsid w:val="00DE0C0E"/>
    <w:rsid w:val="00DF2B60"/>
    <w:rsid w:val="00E167B4"/>
    <w:rsid w:val="00E34815"/>
    <w:rsid w:val="00E401E6"/>
    <w:rsid w:val="00E405D0"/>
    <w:rsid w:val="00E448B1"/>
    <w:rsid w:val="00E4509A"/>
    <w:rsid w:val="00E510D4"/>
    <w:rsid w:val="00E9738A"/>
    <w:rsid w:val="00EA18E3"/>
    <w:rsid w:val="00EA3627"/>
    <w:rsid w:val="00ED7F6F"/>
    <w:rsid w:val="00EE409A"/>
    <w:rsid w:val="00EF0823"/>
    <w:rsid w:val="00EF5222"/>
    <w:rsid w:val="00EF6C8D"/>
    <w:rsid w:val="00F1585E"/>
    <w:rsid w:val="00F3351E"/>
    <w:rsid w:val="00F44508"/>
    <w:rsid w:val="00F46C61"/>
    <w:rsid w:val="00F624FC"/>
    <w:rsid w:val="00F64FFA"/>
    <w:rsid w:val="00F75B7F"/>
    <w:rsid w:val="00F81167"/>
    <w:rsid w:val="00F85157"/>
    <w:rsid w:val="00FB156A"/>
    <w:rsid w:val="00FB4014"/>
    <w:rsid w:val="00FC4795"/>
    <w:rsid w:val="00FC6403"/>
    <w:rsid w:val="00FC7651"/>
    <w:rsid w:val="00FC7998"/>
    <w:rsid w:val="00FE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66E3F"/>
  <w15:chartTrackingRefBased/>
  <w15:docId w15:val="{640CA4E4-C86A-BF4D-A4A9-F691EBB6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D0"/>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B600B4"/>
    <w:pPr>
      <w:tabs>
        <w:tab w:val="left" w:pos="8190"/>
      </w:tabs>
      <w:spacing w:before="240" w:after="240"/>
      <w:ind w:right="2160"/>
      <w:outlineLvl w:val="2"/>
    </w:pPr>
    <w:rPr>
      <w:b/>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E34815"/>
    <w:pPr>
      <w:keepNext/>
      <w:keepLines/>
      <w:spacing w:after="320"/>
      <w:contextualSpacing/>
      <w:outlineLvl w:val="4"/>
    </w:pPr>
    <w:rPr>
      <w:rFonts w:eastAsiaTheme="majorEastAsia" w:cs="Open Sans"/>
      <w:b/>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4"/>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2"/>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B600B4"/>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E34815"/>
    <w:rPr>
      <w:rFonts w:ascii="Open Sans" w:eastAsiaTheme="majorEastAsia" w:hAnsi="Open Sans" w:cs="Open Sans"/>
      <w:b/>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styleId="ListNumber">
    <w:name w:val="List Number"/>
    <w:basedOn w:val="Normal"/>
    <w:uiPriority w:val="11"/>
    <w:qFormat/>
    <w:pPr>
      <w:numPr>
        <w:numId w:val="1"/>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3"/>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5"/>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152450"/>
    <w:pPr>
      <w:tabs>
        <w:tab w:val="center" w:pos="4680"/>
        <w:tab w:val="right" w:pos="9360"/>
      </w:tabs>
    </w:pPr>
  </w:style>
  <w:style w:type="character" w:customStyle="1" w:styleId="HeaderChar">
    <w:name w:val="Header Char"/>
    <w:basedOn w:val="DefaultParagraphFont"/>
    <w:link w:val="Header"/>
    <w:uiPriority w:val="99"/>
    <w:rsid w:val="00152450"/>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Open Sans" w:eastAsia="Times New Roman" w:hAnsi="Open Sans" w:cs="Times New Roman"/>
      <w:color w:val="auto"/>
      <w:sz w:val="20"/>
      <w:szCs w:val="20"/>
      <w:lang w:eastAsia="en-US"/>
    </w:rPr>
  </w:style>
  <w:style w:type="character" w:customStyle="1" w:styleId="normaltextrun">
    <w:name w:val="normaltextrun"/>
    <w:basedOn w:val="DefaultParagraphFont"/>
    <w:rsid w:val="00001A3C"/>
  </w:style>
  <w:style w:type="table" w:styleId="ListTable4-Accent1">
    <w:name w:val="List Table 4 Accent 1"/>
    <w:basedOn w:val="TableNormal"/>
    <w:uiPriority w:val="49"/>
    <w:rsid w:val="004A2489"/>
    <w:pPr>
      <w:spacing w:after="0" w:line="240" w:lineRule="auto"/>
    </w:pPr>
    <w:rPr>
      <w:color w:val="auto"/>
      <w:sz w:val="24"/>
      <w:szCs w:val="24"/>
      <w:lang w:eastAsia="en-US"/>
    </w:rPr>
    <w:tblPr>
      <w:tblStyleRowBandSize w:val="1"/>
      <w:tblStyleColBandSize w:val="1"/>
      <w:tblBorders>
        <w:top w:val="single" w:sz="4" w:space="0" w:color="ECC289" w:themeColor="accent1" w:themeTint="99"/>
        <w:left w:val="single" w:sz="4" w:space="0" w:color="ECC289" w:themeColor="accent1" w:themeTint="99"/>
        <w:bottom w:val="single" w:sz="4" w:space="0" w:color="ECC289" w:themeColor="accent1" w:themeTint="99"/>
        <w:right w:val="single" w:sz="4" w:space="0" w:color="ECC289" w:themeColor="accent1" w:themeTint="99"/>
        <w:insideH w:val="single" w:sz="4" w:space="0" w:color="ECC289" w:themeColor="accent1" w:themeTint="99"/>
      </w:tblBorders>
    </w:tblPr>
    <w:tblStylePr w:type="firstRow">
      <w:rPr>
        <w:b/>
        <w:bCs/>
        <w:color w:val="FFFFFF" w:themeColor="background1"/>
      </w:rPr>
      <w:tblPr/>
      <w:tcPr>
        <w:tcBorders>
          <w:top w:val="single" w:sz="4" w:space="0" w:color="E09B3B" w:themeColor="accent1"/>
          <w:left w:val="single" w:sz="4" w:space="0" w:color="E09B3B" w:themeColor="accent1"/>
          <w:bottom w:val="single" w:sz="4" w:space="0" w:color="E09B3B" w:themeColor="accent1"/>
          <w:right w:val="single" w:sz="4" w:space="0" w:color="E09B3B" w:themeColor="accent1"/>
          <w:insideH w:val="nil"/>
        </w:tcBorders>
        <w:shd w:val="clear" w:color="auto" w:fill="E09B3B" w:themeFill="accent1"/>
      </w:tcPr>
    </w:tblStylePr>
    <w:tblStylePr w:type="lastRow">
      <w:rPr>
        <w:b/>
        <w:bCs/>
      </w:rPr>
      <w:tblPr/>
      <w:tcPr>
        <w:tcBorders>
          <w:top w:val="double" w:sz="4" w:space="0" w:color="ECC289" w:themeColor="accent1" w:themeTint="99"/>
        </w:tcBorders>
      </w:tcPr>
    </w:tblStylePr>
    <w:tblStylePr w:type="firstCol">
      <w:rPr>
        <w:b/>
        <w:bCs/>
      </w:rPr>
    </w:tblStylePr>
    <w:tblStylePr w:type="lastCol">
      <w:rPr>
        <w:b/>
        <w:bCs/>
      </w:rPr>
    </w:tblStylePr>
    <w:tblStylePr w:type="band1Vert">
      <w:tblPr/>
      <w:tcPr>
        <w:shd w:val="clear" w:color="auto" w:fill="F8EAD7" w:themeFill="accent1" w:themeFillTint="33"/>
      </w:tcPr>
    </w:tblStylePr>
    <w:tblStylePr w:type="band1Horz">
      <w:tblPr/>
      <w:tcPr>
        <w:shd w:val="clear" w:color="auto" w:fill="F8EAD7" w:themeFill="accent1" w:themeFillTint="33"/>
      </w:tcPr>
    </w:tblStylePr>
  </w:style>
  <w:style w:type="paragraph" w:customStyle="1" w:styleId="paragraph">
    <w:name w:val="paragraph"/>
    <w:basedOn w:val="Normal"/>
    <w:rsid w:val="004A2489"/>
    <w:pPr>
      <w:spacing w:before="100" w:beforeAutospacing="1" w:after="100" w:afterAutospacing="1"/>
      <w:ind w:left="0"/>
    </w:pPr>
    <w:rPr>
      <w:rFonts w:ascii="Times New Roman" w:hAnsi="Times New Roman"/>
      <w:sz w:val="24"/>
      <w:szCs w:val="24"/>
    </w:rPr>
  </w:style>
  <w:style w:type="numbering" w:customStyle="1" w:styleId="CurrentList6">
    <w:name w:val="Current List6"/>
    <w:uiPriority w:val="99"/>
    <w:rsid w:val="00D3556B"/>
    <w:pPr>
      <w:numPr>
        <w:numId w:val="6"/>
      </w:numPr>
    </w:pPr>
  </w:style>
  <w:style w:type="numbering" w:customStyle="1" w:styleId="CurrentList10">
    <w:name w:val="Current List10"/>
    <w:uiPriority w:val="99"/>
    <w:rsid w:val="00D3556B"/>
    <w:pPr>
      <w:numPr>
        <w:numId w:val="7"/>
      </w:numPr>
    </w:pPr>
  </w:style>
  <w:style w:type="paragraph" w:customStyle="1" w:styleId="calloutBoxBullet-SUBbullet">
    <w:name w:val="callout Box Bullet-SUB bullet"/>
    <w:basedOn w:val="CallOutBoxBullets"/>
    <w:qFormat/>
    <w:rsid w:val="00E510D4"/>
    <w:pPr>
      <w:numPr>
        <w:numId w:val="8"/>
      </w:numPr>
      <w:ind w:left="336" w:hanging="180"/>
    </w:pPr>
    <w:rPr>
      <w:b w:val="0"/>
      <w:bCs w:val="0"/>
    </w:rPr>
  </w:style>
  <w:style w:type="paragraph" w:customStyle="1" w:styleId="ListBulletSUB">
    <w:name w:val="List Bullet SUB"/>
    <w:basedOn w:val="ListBullet"/>
    <w:qFormat/>
    <w:rsid w:val="00CD0B6E"/>
    <w:pPr>
      <w:numPr>
        <w:numId w:val="9"/>
      </w:numPr>
      <w:tabs>
        <w:tab w:val="clear" w:pos="2520"/>
        <w:tab w:val="left" w:pos="2610"/>
        <w:tab w:val="left" w:pos="2700"/>
      </w:tabs>
      <w:ind w:left="2790" w:hanging="180"/>
    </w:pPr>
  </w:style>
  <w:style w:type="character" w:customStyle="1" w:styleId="eop">
    <w:name w:val="eop"/>
    <w:basedOn w:val="DefaultParagraphFont"/>
    <w:rsid w:val="0082242D"/>
  </w:style>
  <w:style w:type="character" w:customStyle="1" w:styleId="cf01">
    <w:name w:val="cf01"/>
    <w:basedOn w:val="DefaultParagraphFont"/>
    <w:rsid w:val="00B215A7"/>
    <w:rPr>
      <w:rFonts w:ascii="Segoe UI" w:hAnsi="Segoe UI" w:cs="Segoe UI" w:hint="default"/>
      <w:sz w:val="18"/>
      <w:szCs w:val="18"/>
    </w:rPr>
  </w:style>
  <w:style w:type="character" w:customStyle="1" w:styleId="cf11">
    <w:name w:val="cf11"/>
    <w:basedOn w:val="DefaultParagraphFont"/>
    <w:rsid w:val="00B215A7"/>
    <w:rPr>
      <w:rFonts w:ascii="Segoe UI" w:hAnsi="Segoe UI" w:cs="Segoe UI" w:hint="default"/>
      <w:i/>
      <w:iCs/>
      <w:sz w:val="18"/>
      <w:szCs w:val="18"/>
    </w:rPr>
  </w:style>
  <w:style w:type="character" w:customStyle="1" w:styleId="cf21">
    <w:name w:val="cf21"/>
    <w:basedOn w:val="DefaultParagraphFont"/>
    <w:rsid w:val="00B215A7"/>
    <w:rPr>
      <w:rFonts w:ascii="Segoe UI" w:hAnsi="Segoe UI" w:cs="Segoe UI" w:hint="default"/>
      <w:sz w:val="18"/>
      <w:szCs w:val="18"/>
    </w:rPr>
  </w:style>
  <w:style w:type="character" w:customStyle="1" w:styleId="ui-provider">
    <w:name w:val="ui-provider"/>
    <w:basedOn w:val="DefaultParagraphFont"/>
    <w:rsid w:val="00B215A7"/>
  </w:style>
  <w:style w:type="paragraph" w:styleId="NormalWeb">
    <w:name w:val="Normal (Web)"/>
    <w:basedOn w:val="Normal"/>
    <w:uiPriority w:val="99"/>
    <w:unhideWhenUsed/>
    <w:rsid w:val="001A5737"/>
    <w:pPr>
      <w:spacing w:before="100" w:beforeAutospacing="1" w:after="100" w:afterAutospacing="1"/>
      <w:ind w:left="0"/>
    </w:pPr>
    <w:rPr>
      <w:rFonts w:ascii="Times New Roman" w:hAnsi="Times New Roman"/>
      <w:sz w:val="24"/>
      <w:szCs w:val="24"/>
    </w:rPr>
  </w:style>
  <w:style w:type="paragraph" w:customStyle="1" w:styleId="Style1numbredbrief9">
    <w:name w:val="Style1 numbred brief 9"/>
    <w:basedOn w:val="ListBullet"/>
    <w:qFormat/>
    <w:rsid w:val="005E0AFF"/>
    <w:pPr>
      <w:numPr>
        <w:numId w:val="10"/>
      </w:numPr>
      <w:ind w:left="2700" w:hanging="270"/>
    </w:pPr>
  </w:style>
  <w:style w:type="paragraph" w:customStyle="1" w:styleId="BOXtitle">
    <w:name w:val="BOX title"/>
    <w:basedOn w:val="Caption"/>
    <w:qFormat/>
    <w:rsid w:val="005E0AFF"/>
    <w:pPr>
      <w:ind w:left="165"/>
    </w:pPr>
    <w:rPr>
      <w:b/>
      <w:bCs/>
    </w:rPr>
  </w:style>
  <w:style w:type="paragraph" w:customStyle="1" w:styleId="BOXbody">
    <w:name w:val="BOX body"/>
    <w:basedOn w:val="Normal"/>
    <w:qFormat/>
    <w:rsid w:val="005E0AFF"/>
    <w:pPr>
      <w:ind w:left="165" w:right="72"/>
    </w:pPr>
  </w:style>
  <w:style w:type="paragraph" w:customStyle="1" w:styleId="BOXbodybullets">
    <w:name w:val="BOX body bullets"/>
    <w:basedOn w:val="BOXbody"/>
    <w:qFormat/>
    <w:rsid w:val="00CD43BE"/>
    <w:pPr>
      <w:numPr>
        <w:numId w:val="13"/>
      </w:numPr>
    </w:pPr>
  </w:style>
  <w:style w:type="paragraph" w:customStyle="1" w:styleId="referenceBody">
    <w:name w:val="reference Body"/>
    <w:basedOn w:val="ListParagraph"/>
    <w:qFormat/>
    <w:rsid w:val="00853C29"/>
    <w:pPr>
      <w:numPr>
        <w:numId w:val="14"/>
      </w:numPr>
      <w:spacing w:line="259" w:lineRule="auto"/>
      <w:ind w:left="446" w:hanging="446"/>
    </w:pPr>
    <w:rPr>
      <w:rFonts w:cs="Open Sans"/>
      <w:noProof/>
      <w:sz w:val="20"/>
      <w:szCs w:val="20"/>
    </w:rPr>
  </w:style>
  <w:style w:type="paragraph" w:customStyle="1" w:styleId="highlightCallout">
    <w:name w:val="highlight Callout"/>
    <w:basedOn w:val="Normal"/>
    <w:qFormat/>
    <w:rsid w:val="00E405D0"/>
    <w:pPr>
      <w:shd w:val="clear" w:color="auto" w:fill="EEF6FA"/>
    </w:pPr>
  </w:style>
  <w:style w:type="paragraph" w:customStyle="1" w:styleId="textAcknowledgement">
    <w:name w:val="textAcknowledgement"/>
    <w:basedOn w:val="Normal"/>
    <w:qFormat/>
    <w:rsid w:val="008B76D1"/>
    <w:rPr>
      <w:rFonts w:cstheme="minorHAnsi"/>
      <w:bCs/>
      <w:sz w:val="20"/>
      <w:szCs w:val="20"/>
    </w:rPr>
  </w:style>
  <w:style w:type="paragraph" w:customStyle="1" w:styleId="textAcknowledgementList">
    <w:name w:val="textAcknowledgementList"/>
    <w:basedOn w:val="ListBullet"/>
    <w:qFormat/>
    <w:rsid w:val="008B76D1"/>
    <w:pPr>
      <w:numPr>
        <w:numId w:val="15"/>
      </w:numPr>
      <w:tabs>
        <w:tab w:val="num" w:pos="360"/>
      </w:tabs>
      <w:ind w:left="2520" w:hanging="27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28252">
      <w:bodyDiv w:val="1"/>
      <w:marLeft w:val="0"/>
      <w:marRight w:val="0"/>
      <w:marTop w:val="0"/>
      <w:marBottom w:val="0"/>
      <w:divBdr>
        <w:top w:val="none" w:sz="0" w:space="0" w:color="auto"/>
        <w:left w:val="none" w:sz="0" w:space="0" w:color="auto"/>
        <w:bottom w:val="none" w:sz="0" w:space="0" w:color="auto"/>
        <w:right w:val="none" w:sz="0" w:space="0" w:color="auto"/>
      </w:divBdr>
    </w:div>
    <w:div w:id="523833532">
      <w:bodyDiv w:val="1"/>
      <w:marLeft w:val="0"/>
      <w:marRight w:val="0"/>
      <w:marTop w:val="0"/>
      <w:marBottom w:val="0"/>
      <w:divBdr>
        <w:top w:val="none" w:sz="0" w:space="0" w:color="auto"/>
        <w:left w:val="none" w:sz="0" w:space="0" w:color="auto"/>
        <w:bottom w:val="none" w:sz="0" w:space="0" w:color="auto"/>
        <w:right w:val="none" w:sz="0" w:space="0" w:color="auto"/>
      </w:divBdr>
    </w:div>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1818181888">
      <w:bodyDiv w:val="1"/>
      <w:marLeft w:val="0"/>
      <w:marRight w:val="0"/>
      <w:marTop w:val="0"/>
      <w:marBottom w:val="0"/>
      <w:divBdr>
        <w:top w:val="none" w:sz="0" w:space="0" w:color="auto"/>
        <w:left w:val="none" w:sz="0" w:space="0" w:color="auto"/>
        <w:bottom w:val="none" w:sz="0" w:space="0" w:color="auto"/>
        <w:right w:val="none" w:sz="0" w:space="0" w:color="auto"/>
      </w:divBdr>
    </w:div>
    <w:div w:id="1890066775">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tp.fpg.unc.edu/wp-content/uploads/scale-up-plan-and-strategic-planning.docx" TargetMode="External"/><Relationship Id="rId4" Type="http://schemas.openxmlformats.org/officeDocument/2006/relationships/settings" Target="settings.xml"/><Relationship Id="rId9" Type="http://schemas.openxmlformats.org/officeDocument/2006/relationships/hyperlink" Target="https://mailchi.mp/email/implementeer-sept-2022-165393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6</cp:revision>
  <dcterms:created xsi:type="dcterms:W3CDTF">2024-06-10T19:45:00Z</dcterms:created>
  <dcterms:modified xsi:type="dcterms:W3CDTF">2024-06-17T18:06:00Z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