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8CA0" w14:textId="77777777" w:rsidR="002C36C2" w:rsidRDefault="002C36C2" w:rsidP="002C36C2">
      <w:pPr>
        <w:pStyle w:val="Heading2"/>
        <w:rPr>
          <w:rFonts w:eastAsia="Lato"/>
        </w:rPr>
      </w:pPr>
      <w:r>
        <w:rPr>
          <w:rFonts w:eastAsia="Lato"/>
        </w:rPr>
        <w:t xml:space="preserve">ICTP Implementation </w:t>
      </w:r>
    </w:p>
    <w:p w14:paraId="5CCBB3A2" w14:textId="77777777" w:rsidR="002C36C2" w:rsidRPr="00086FED" w:rsidRDefault="002C36C2" w:rsidP="002C36C2">
      <w:pPr>
        <w:pStyle w:val="Heading2"/>
      </w:pPr>
      <w:r>
        <w:rPr>
          <w:rFonts w:eastAsia="Lato"/>
        </w:rPr>
        <w:t>Support Practice Model: Background &amp; Development</w:t>
      </w:r>
    </w:p>
    <w:p w14:paraId="76AA2032" w14:textId="77777777" w:rsidR="0090628E" w:rsidRDefault="0090628E" w:rsidP="005F3829"/>
    <w:p w14:paraId="22855459" w14:textId="1828FAD3" w:rsidR="00974A8E" w:rsidRPr="00D2739D" w:rsidRDefault="00974A8E" w:rsidP="005F00FA">
      <w:r>
        <w:t>In th</w:t>
      </w:r>
      <w:r w:rsidRPr="00872250">
        <w:t>is brief</w:t>
      </w:r>
      <w:r>
        <w:t>, we provide a concise overview of implementation science to serve as context in which to understand the Implementation Capacity for Triple P (</w:t>
      </w:r>
      <w:r w:rsidRPr="00872250">
        <w:t>ICTP</w:t>
      </w:r>
      <w:r>
        <w:t>)</w:t>
      </w:r>
      <w:r w:rsidRPr="00872250">
        <w:t xml:space="preserve"> implementation support practice </w:t>
      </w:r>
      <w:r>
        <w:t xml:space="preserve">model, a detailed approach for supporting Triple P implementation and scale-up in the Carolinas. Following this, we describe </w:t>
      </w:r>
      <w:r w:rsidRPr="00872250">
        <w:t>the development and status of the ICTP implementation support practice model</w:t>
      </w:r>
      <w:r>
        <w:t>.</w:t>
      </w:r>
      <w:r w:rsidR="00D2739D">
        <w:t xml:space="preserve"> </w:t>
      </w:r>
      <w:r>
        <w:rPr>
          <w:rFonts w:cs="Merriweather"/>
        </w:rPr>
        <w:t>A starting point to appreciating implementation science and its use as the foundation of the ICTP projects is understanding that the field originated to address critical challenges that persist today regarding the implementation of evidence-based prevention programs.</w:t>
      </w:r>
    </w:p>
    <w:p w14:paraId="7001ACE7" w14:textId="77777777" w:rsidR="00974A8E" w:rsidRDefault="00974A8E" w:rsidP="00974A8E">
      <w:pPr>
        <w:rPr>
          <w:rFonts w:cs="Merriweather"/>
        </w:rPr>
      </w:pPr>
    </w:p>
    <w:p w14:paraId="0B52FA34" w14:textId="77777777" w:rsidR="00974A8E" w:rsidRDefault="00974A8E" w:rsidP="00974A8E">
      <w:pPr>
        <w:rPr>
          <w:rFonts w:cs="Merriweather"/>
        </w:rPr>
      </w:pPr>
      <w:r w:rsidRPr="1AEF4C3F">
        <w:rPr>
          <w:rFonts w:cs="Merriweather"/>
        </w:rPr>
        <w:t>Evidence-based prevention programs offer a great deal of promise to support the health and well</w:t>
      </w:r>
      <w:r>
        <w:rPr>
          <w:rFonts w:cs="Merriweather"/>
        </w:rPr>
        <w:t>-</w:t>
      </w:r>
      <w:r w:rsidRPr="1AEF4C3F">
        <w:rPr>
          <w:rFonts w:cs="Merriweather"/>
        </w:rPr>
        <w:t xml:space="preserve">being of children, youth, families, and communities. Many funders and service providers have shifted toward </w:t>
      </w:r>
      <w:r>
        <w:rPr>
          <w:rFonts w:cs="Merriweather"/>
        </w:rPr>
        <w:t xml:space="preserve">program </w:t>
      </w:r>
      <w:r w:rsidRPr="1AEF4C3F">
        <w:rPr>
          <w:rFonts w:cs="Merriweather"/>
        </w:rPr>
        <w:t xml:space="preserve">models that have demonstrated </w:t>
      </w:r>
      <w:r>
        <w:rPr>
          <w:rFonts w:cs="Merriweather"/>
        </w:rPr>
        <w:t xml:space="preserve">(a) </w:t>
      </w:r>
      <w:r w:rsidRPr="1AEF4C3F">
        <w:rPr>
          <w:rFonts w:cs="Merriweather"/>
        </w:rPr>
        <w:t xml:space="preserve">positive impact through rigorous evaluations and </w:t>
      </w:r>
      <w:r>
        <w:rPr>
          <w:rFonts w:cs="Merriweather"/>
        </w:rPr>
        <w:t xml:space="preserve">(b) positive outcomes </w:t>
      </w:r>
      <w:proofErr w:type="gramStart"/>
      <w:r>
        <w:rPr>
          <w:rFonts w:cs="Merriweather"/>
        </w:rPr>
        <w:t>with regard to</w:t>
      </w:r>
      <w:proofErr w:type="gramEnd"/>
      <w:r>
        <w:rPr>
          <w:rFonts w:cs="Merriweather"/>
        </w:rPr>
        <w:t xml:space="preserve"> </w:t>
      </w:r>
      <w:r w:rsidRPr="1AEF4C3F">
        <w:rPr>
          <w:rFonts w:cs="Merriweather"/>
        </w:rPr>
        <w:t xml:space="preserve">choice, fit, and feasibility within adopting locations. </w:t>
      </w:r>
    </w:p>
    <w:p w14:paraId="0955601B" w14:textId="77777777" w:rsidR="00974A8E" w:rsidRDefault="00974A8E" w:rsidP="00974A8E">
      <w:pPr>
        <w:rPr>
          <w:rFonts w:cs="Merriweather"/>
        </w:rPr>
      </w:pPr>
    </w:p>
    <w:p w14:paraId="2B549CAA" w14:textId="77777777" w:rsidR="00974A8E" w:rsidRDefault="00974A8E" w:rsidP="00974A8E">
      <w:pPr>
        <w:rPr>
          <w:rFonts w:cs="Merriweather"/>
        </w:rPr>
      </w:pPr>
      <w:r w:rsidRPr="00015BAD">
        <w:rPr>
          <w:rFonts w:cs="Merriweather"/>
        </w:rPr>
        <w:t xml:space="preserve">However, in the </w:t>
      </w:r>
      <w:r>
        <w:rPr>
          <w:rFonts w:cs="Merriweather"/>
        </w:rPr>
        <w:t>context</w:t>
      </w:r>
      <w:r w:rsidRPr="00015BAD">
        <w:rPr>
          <w:rFonts w:cs="Merriweather"/>
        </w:rPr>
        <w:t xml:space="preserve"> of </w:t>
      </w:r>
      <w:r>
        <w:rPr>
          <w:rFonts w:cs="Merriweather"/>
        </w:rPr>
        <w:t xml:space="preserve">established health, well-being, and prevention systems, the </w:t>
      </w:r>
      <w:r w:rsidRPr="00015BAD">
        <w:rPr>
          <w:rFonts w:cs="Merriweather"/>
        </w:rPr>
        <w:t>implement</w:t>
      </w:r>
      <w:r>
        <w:rPr>
          <w:rFonts w:cs="Merriweather"/>
        </w:rPr>
        <w:t xml:space="preserve">ation </w:t>
      </w:r>
      <w:r w:rsidRPr="00015BAD">
        <w:rPr>
          <w:rFonts w:cs="Merriweather"/>
        </w:rPr>
        <w:t>and scal</w:t>
      </w:r>
      <w:r>
        <w:rPr>
          <w:rFonts w:cs="Merriweather"/>
        </w:rPr>
        <w:t>e</w:t>
      </w:r>
      <w:r w:rsidRPr="00015BAD">
        <w:rPr>
          <w:rFonts w:cs="Merriweather"/>
        </w:rPr>
        <w:t xml:space="preserve">-up </w:t>
      </w:r>
      <w:r>
        <w:rPr>
          <w:rFonts w:cs="Merriweather"/>
        </w:rPr>
        <w:t xml:space="preserve">of </w:t>
      </w:r>
      <w:r w:rsidRPr="00015BAD">
        <w:rPr>
          <w:rFonts w:cs="Merriweather"/>
        </w:rPr>
        <w:t>these innovations can be challeng</w:t>
      </w:r>
      <w:r>
        <w:rPr>
          <w:rFonts w:cs="Merriweather"/>
        </w:rPr>
        <w:t>ing</w:t>
      </w:r>
      <w:r w:rsidRPr="00015BAD">
        <w:rPr>
          <w:rFonts w:cs="Merriweather"/>
        </w:rPr>
        <w:t xml:space="preserve">. </w:t>
      </w:r>
      <w:r>
        <w:rPr>
          <w:rFonts w:cs="Merriweather"/>
          <w:i/>
          <w:iCs/>
        </w:rPr>
        <w:t xml:space="preserve">Implementation </w:t>
      </w:r>
      <w:r w:rsidRPr="00E61A44">
        <w:rPr>
          <w:rFonts w:cs="Merriweather"/>
        </w:rPr>
        <w:t>is defined as “a specified set of activities designed to put into practice a</w:t>
      </w:r>
      <w:r>
        <w:rPr>
          <w:rFonts w:cs="Merriweather"/>
        </w:rPr>
        <w:t>n activity or</w:t>
      </w:r>
      <w:r w:rsidRPr="00E61A44">
        <w:rPr>
          <w:rFonts w:cs="Merriweather"/>
        </w:rPr>
        <w:t xml:space="preserve"> program of known dimensions”</w:t>
      </w:r>
      <w:r>
        <w:rPr>
          <w:rFonts w:cs="Merriweather"/>
        </w:rPr>
        <w:t xml:space="preserve"> [1] (p. 5).</w:t>
      </w:r>
      <w:r w:rsidRPr="00E61A44">
        <w:rPr>
          <w:rFonts w:cs="Merriweather"/>
        </w:rPr>
        <w:t xml:space="preserve"> </w:t>
      </w:r>
      <w:r>
        <w:rPr>
          <w:rFonts w:cs="Merriweather"/>
          <w:i/>
          <w:iCs/>
        </w:rPr>
        <w:t xml:space="preserve">Scale-up </w:t>
      </w:r>
      <w:r>
        <w:rPr>
          <w:rFonts w:cs="Merriweather"/>
        </w:rPr>
        <w:t>refers to</w:t>
      </w:r>
      <w:r w:rsidRPr="00E61A44">
        <w:rPr>
          <w:rFonts w:cs="Merriweather"/>
        </w:rPr>
        <w:t xml:space="preserve"> systematic approaches used to increase intervention coverage, range, and sustainability</w:t>
      </w:r>
      <w:r>
        <w:rPr>
          <w:rFonts w:cs="Merriweather"/>
        </w:rPr>
        <w:t xml:space="preserve"> [2]. Scale-up can occur both</w:t>
      </w:r>
      <w:r w:rsidRPr="00E61A44">
        <w:rPr>
          <w:rFonts w:cs="Merriweather"/>
        </w:rPr>
        <w:t xml:space="preserve"> vertically (i.e., involving multiple system levels) and horizontally (i.e.</w:t>
      </w:r>
      <w:r>
        <w:rPr>
          <w:rFonts w:cs="Merriweather"/>
        </w:rPr>
        <w:t>,</w:t>
      </w:r>
      <w:r w:rsidRPr="00E61A44">
        <w:rPr>
          <w:rFonts w:cs="Merriweather"/>
        </w:rPr>
        <w:t xml:space="preserve"> spread across individual or cross-sector networks)</w:t>
      </w:r>
      <w:r>
        <w:rPr>
          <w:rFonts w:cs="Merriweather"/>
        </w:rPr>
        <w:t>. F</w:t>
      </w:r>
      <w:r w:rsidRPr="00E61A44">
        <w:rPr>
          <w:rFonts w:cs="Merriweather"/>
        </w:rPr>
        <w:t xml:space="preserve">or example, </w:t>
      </w:r>
      <w:r>
        <w:rPr>
          <w:rFonts w:cs="Merriweather"/>
        </w:rPr>
        <w:t xml:space="preserve">a program can expand </w:t>
      </w:r>
      <w:r w:rsidRPr="00E61A44">
        <w:rPr>
          <w:rFonts w:cs="Merriweather"/>
        </w:rPr>
        <w:t xml:space="preserve">from a successful local program into regional, national, or international levels. </w:t>
      </w:r>
    </w:p>
    <w:p w14:paraId="680AE9B7" w14:textId="77777777" w:rsidR="00974A8E" w:rsidRDefault="00974A8E" w:rsidP="00974A8E">
      <w:pPr>
        <w:rPr>
          <w:rFonts w:cs="Merriweather"/>
        </w:rPr>
      </w:pPr>
    </w:p>
    <w:p w14:paraId="1F62E5B2" w14:textId="370A941A" w:rsidR="00974A8E" w:rsidRDefault="00974A8E" w:rsidP="00D2739D">
      <w:pPr>
        <w:rPr>
          <w:rFonts w:cs="Merriweather"/>
        </w:rPr>
      </w:pPr>
      <w:r>
        <w:rPr>
          <w:rFonts w:cs="Merriweather"/>
        </w:rPr>
        <w:t>One reason implementation and scale-up often prove challenging is that</w:t>
      </w:r>
      <w:r w:rsidRPr="00015BAD">
        <w:rPr>
          <w:rFonts w:cs="Merriweather"/>
        </w:rPr>
        <w:t xml:space="preserve"> </w:t>
      </w:r>
      <w:r>
        <w:rPr>
          <w:rFonts w:cs="Merriweather"/>
        </w:rPr>
        <w:t>d</w:t>
      </w:r>
      <w:r w:rsidRPr="00015BAD">
        <w:rPr>
          <w:rFonts w:cs="Merriweather"/>
        </w:rPr>
        <w:t xml:space="preserve">espite </w:t>
      </w:r>
      <w:r>
        <w:rPr>
          <w:rFonts w:cs="Merriweather"/>
        </w:rPr>
        <w:t xml:space="preserve">their </w:t>
      </w:r>
      <w:r w:rsidRPr="00015BAD">
        <w:rPr>
          <w:rFonts w:cs="Merriweather"/>
        </w:rPr>
        <w:t>best intentions, longstanding, complex</w:t>
      </w:r>
      <w:r>
        <w:rPr>
          <w:rFonts w:cs="Merriweather"/>
        </w:rPr>
        <w:t xml:space="preserve">, and fragmented </w:t>
      </w:r>
      <w:r w:rsidRPr="00015BAD">
        <w:rPr>
          <w:rFonts w:cs="Merriweather"/>
        </w:rPr>
        <w:t xml:space="preserve">service systems tend to </w:t>
      </w:r>
      <w:r>
        <w:rPr>
          <w:rFonts w:cs="Merriweather"/>
        </w:rPr>
        <w:t>revert from</w:t>
      </w:r>
      <w:r w:rsidRPr="00015BAD">
        <w:rPr>
          <w:rFonts w:cs="Merriweather"/>
        </w:rPr>
        <w:t xml:space="preserve"> innovation back to past practice</w:t>
      </w:r>
      <w:r>
        <w:rPr>
          <w:rFonts w:cs="Merriweather"/>
        </w:rPr>
        <w:t>s</w:t>
      </w:r>
      <w:r w:rsidRPr="00015BAD">
        <w:rPr>
          <w:rFonts w:cs="Merriweather"/>
        </w:rPr>
        <w:t xml:space="preserve">. </w:t>
      </w:r>
      <w:r>
        <w:rPr>
          <w:rFonts w:cs="Merriweather"/>
        </w:rPr>
        <w:t xml:space="preserve">Additionally, structural inequities that result in the marginalization of diverse community, </w:t>
      </w:r>
      <w:r>
        <w:rPr>
          <w:rFonts w:cs="Merriweather"/>
        </w:rPr>
        <w:lastRenderedPageBreak/>
        <w:t>family, and practitioner voices often limit the optimization of scale-up. These</w:t>
      </w:r>
      <w:r w:rsidRPr="00015BAD">
        <w:rPr>
          <w:rFonts w:cs="Merriweather"/>
        </w:rPr>
        <w:t xml:space="preserve"> challenge</w:t>
      </w:r>
      <w:r>
        <w:rPr>
          <w:rFonts w:cs="Merriweather"/>
        </w:rPr>
        <w:t>s</w:t>
      </w:r>
      <w:r w:rsidRPr="00015BAD">
        <w:rPr>
          <w:rFonts w:cs="Merriweather"/>
        </w:rPr>
        <w:t xml:space="preserve"> </w:t>
      </w:r>
      <w:r>
        <w:rPr>
          <w:rFonts w:cs="Merriweather"/>
        </w:rPr>
        <w:t>continue to</w:t>
      </w:r>
      <w:r w:rsidRPr="00015BAD">
        <w:rPr>
          <w:rFonts w:cs="Merriweather"/>
        </w:rPr>
        <w:t xml:space="preserve"> prevent evidence-based strategies from </w:t>
      </w:r>
      <w:r>
        <w:rPr>
          <w:rFonts w:cs="Merriweather"/>
        </w:rPr>
        <w:t>yielding</w:t>
      </w:r>
      <w:r w:rsidRPr="00015BAD">
        <w:rPr>
          <w:rFonts w:cs="Merriweather"/>
        </w:rPr>
        <w:t xml:space="preserve"> </w:t>
      </w:r>
      <w:r>
        <w:rPr>
          <w:rFonts w:cs="Merriweather"/>
        </w:rPr>
        <w:t>intended</w:t>
      </w:r>
      <w:r w:rsidRPr="00015BAD">
        <w:rPr>
          <w:rFonts w:cs="Merriweather"/>
        </w:rPr>
        <w:t xml:space="preserve"> outcomes.</w:t>
      </w:r>
      <w:r w:rsidR="00D2739D">
        <w:rPr>
          <w:rFonts w:cs="Merriweather"/>
        </w:rPr>
        <w:t xml:space="preserve"> </w:t>
      </w:r>
      <w:r w:rsidRPr="7E52F19B">
        <w:rPr>
          <w:rFonts w:cs="Merriweather"/>
        </w:rPr>
        <w:t>To address challenges related to implementation and scale-up</w:t>
      </w:r>
      <w:r>
        <w:rPr>
          <w:rFonts w:cs="Merriweather"/>
        </w:rPr>
        <w:t>,</w:t>
      </w:r>
      <w:r w:rsidRPr="7E52F19B">
        <w:rPr>
          <w:rFonts w:cs="Merriweather"/>
        </w:rPr>
        <w:t xml:space="preserve"> </w:t>
      </w:r>
      <w:r>
        <w:rPr>
          <w:rFonts w:cs="Merriweather"/>
        </w:rPr>
        <w:t>t</w:t>
      </w:r>
      <w:r w:rsidRPr="7E52F19B">
        <w:rPr>
          <w:rFonts w:cs="Merriweather"/>
        </w:rPr>
        <w:t xml:space="preserve">he ICTP projects </w:t>
      </w:r>
      <w:r>
        <w:rPr>
          <w:rFonts w:cs="Merriweather"/>
        </w:rPr>
        <w:t xml:space="preserve">utilize implementation science and related equity-informed practices to </w:t>
      </w:r>
      <w:r w:rsidRPr="7E52F19B">
        <w:rPr>
          <w:rFonts w:cs="Merriweather"/>
        </w:rPr>
        <w:t xml:space="preserve">develop methods, materials, and opportunities to support statewide partners and local communities in </w:t>
      </w:r>
      <w:r>
        <w:rPr>
          <w:rFonts w:cs="Merriweather"/>
        </w:rPr>
        <w:t>North Carolina</w:t>
      </w:r>
      <w:r w:rsidRPr="7E52F19B">
        <w:rPr>
          <w:rFonts w:cs="Merriweather"/>
        </w:rPr>
        <w:t xml:space="preserve"> and </w:t>
      </w:r>
      <w:r>
        <w:rPr>
          <w:rFonts w:cs="Merriweather"/>
        </w:rPr>
        <w:t>South Carolina</w:t>
      </w:r>
      <w:r w:rsidRPr="7E52F19B">
        <w:rPr>
          <w:rFonts w:cs="Merriweather"/>
        </w:rPr>
        <w:t xml:space="preserve"> to successfully and sustainably scale the </w:t>
      </w:r>
      <w:r>
        <w:rPr>
          <w:rFonts w:cs="Merriweather"/>
        </w:rPr>
        <w:t xml:space="preserve">Triple P – </w:t>
      </w:r>
      <w:r w:rsidRPr="7E52F19B">
        <w:rPr>
          <w:rFonts w:cs="Merriweather"/>
        </w:rPr>
        <w:t xml:space="preserve">Positive Parenting Program (Triple P) system of interventions. </w:t>
      </w:r>
      <w:r>
        <w:rPr>
          <w:rFonts w:cs="Merriweather"/>
        </w:rPr>
        <w:t>Our long-term goal is to support</w:t>
      </w:r>
      <w:r w:rsidRPr="7E52F19B">
        <w:rPr>
          <w:rFonts w:cs="Merriweather"/>
        </w:rPr>
        <w:t xml:space="preserve"> </w:t>
      </w:r>
      <w:r>
        <w:rPr>
          <w:rFonts w:cs="Merriweather"/>
        </w:rPr>
        <w:t xml:space="preserve">our partners to </w:t>
      </w:r>
      <w:r w:rsidRPr="7E52F19B">
        <w:rPr>
          <w:rFonts w:cs="Merriweather"/>
        </w:rPr>
        <w:t>realiz</w:t>
      </w:r>
      <w:r>
        <w:rPr>
          <w:rFonts w:cs="Merriweather"/>
        </w:rPr>
        <w:t>e</w:t>
      </w:r>
      <w:r w:rsidRPr="7E52F19B">
        <w:rPr>
          <w:rFonts w:cs="Merriweather"/>
        </w:rPr>
        <w:t xml:space="preserve"> </w:t>
      </w:r>
      <w:r>
        <w:rPr>
          <w:rFonts w:cs="Merriweather"/>
        </w:rPr>
        <w:t>intended</w:t>
      </w:r>
      <w:r w:rsidRPr="7E52F19B">
        <w:rPr>
          <w:rFonts w:cs="Merriweather"/>
        </w:rPr>
        <w:t xml:space="preserve"> population-level benefits </w:t>
      </w:r>
      <w:r>
        <w:rPr>
          <w:rFonts w:cs="Merriweather"/>
        </w:rPr>
        <w:t>while</w:t>
      </w:r>
      <w:r w:rsidRPr="7E52F19B">
        <w:rPr>
          <w:rFonts w:cs="Merriweather"/>
        </w:rPr>
        <w:t xml:space="preserve"> </w:t>
      </w:r>
      <w:r>
        <w:rPr>
          <w:rFonts w:cs="Merriweather"/>
        </w:rPr>
        <w:t xml:space="preserve">substantially reducing or eliminating </w:t>
      </w:r>
      <w:r w:rsidRPr="7E52F19B">
        <w:rPr>
          <w:rFonts w:cs="Merriweather"/>
        </w:rPr>
        <w:t xml:space="preserve">disparities </w:t>
      </w:r>
      <w:r>
        <w:rPr>
          <w:rFonts w:cs="Merriweather"/>
        </w:rPr>
        <w:t>among</w:t>
      </w:r>
      <w:r w:rsidRPr="7E52F19B">
        <w:rPr>
          <w:rFonts w:cs="Merriweather"/>
        </w:rPr>
        <w:t xml:space="preserve"> children, families, and communities</w:t>
      </w:r>
      <w:r>
        <w:rPr>
          <w:rFonts w:cs="Merriweather"/>
        </w:rPr>
        <w:t>, at least insofar as Triple P implementation and programmatic opportunities may afford</w:t>
      </w:r>
      <w:r w:rsidRPr="7E52F19B">
        <w:rPr>
          <w:rFonts w:cs="Merriweather"/>
        </w:rPr>
        <w:t>.</w:t>
      </w:r>
    </w:p>
    <w:p w14:paraId="45F063FB" w14:textId="49CF07CD" w:rsidR="00974A8E" w:rsidRDefault="00974A8E" w:rsidP="00974A8E">
      <w:pPr>
        <w:rPr>
          <w:rFonts w:cs="Merriweather"/>
        </w:rPr>
      </w:pPr>
    </w:p>
    <w:p w14:paraId="4D245446" w14:textId="53F0FFBF" w:rsidR="00974A8E" w:rsidRPr="00015BAD" w:rsidRDefault="00974A8E" w:rsidP="00974A8E">
      <w:r>
        <w:t>More specifically</w:t>
      </w:r>
      <w:r w:rsidRPr="7E52F19B">
        <w:t xml:space="preserve">, </w:t>
      </w:r>
      <w:r>
        <w:t xml:space="preserve">the </w:t>
      </w:r>
      <w:r w:rsidRPr="7E52F19B">
        <w:t xml:space="preserve">ICTP projects leverage </w:t>
      </w:r>
    </w:p>
    <w:p w14:paraId="05C1D428" w14:textId="5F902FEE" w:rsidR="00974A8E" w:rsidRPr="00015BAD" w:rsidRDefault="000D15CF" w:rsidP="00974A8E">
      <w:pPr>
        <w:pStyle w:val="ListBullet"/>
      </w:pPr>
      <w:r>
        <w:rPr>
          <w:noProof/>
        </w:rPr>
        <mc:AlternateContent>
          <mc:Choice Requires="wps">
            <w:drawing>
              <wp:anchor distT="0" distB="0" distL="114300" distR="114300" simplePos="0" relativeHeight="251726848" behindDoc="0" locked="0" layoutInCell="1" allowOverlap="1" wp14:anchorId="3BD0CFAC" wp14:editId="7FBA8371">
                <wp:simplePos x="0" y="0"/>
                <wp:positionH relativeFrom="column">
                  <wp:posOffset>-143803</wp:posOffset>
                </wp:positionH>
                <wp:positionV relativeFrom="paragraph">
                  <wp:posOffset>116135</wp:posOffset>
                </wp:positionV>
                <wp:extent cx="1163955" cy="1144270"/>
                <wp:effectExtent l="0" t="0" r="17145" b="11430"/>
                <wp:wrapNone/>
                <wp:docPr id="646263421" name="Rectangle 3" descr="Dive Deeper: Refer to brief 2 for more information."/>
                <wp:cNvGraphicFramePr/>
                <a:graphic xmlns:a="http://schemas.openxmlformats.org/drawingml/2006/main">
                  <a:graphicData uri="http://schemas.microsoft.com/office/word/2010/wordprocessingShape">
                    <wps:wsp>
                      <wps:cNvSpPr/>
                      <wps:spPr>
                        <a:xfrm>
                          <a:off x="0" y="0"/>
                          <a:ext cx="1163955" cy="1144270"/>
                        </a:xfrm>
                        <a:custGeom>
                          <a:avLst/>
                          <a:gdLst>
                            <a:gd name="connsiteX0" fmla="*/ 0 w 1518285"/>
                            <a:gd name="connsiteY0" fmla="*/ 0 h 1417320"/>
                            <a:gd name="connsiteX1" fmla="*/ 986536 w 1518285"/>
                            <a:gd name="connsiteY1" fmla="*/ 0 h 1417320"/>
                            <a:gd name="connsiteX2" fmla="*/ 986536 w 1518285"/>
                            <a:gd name="connsiteY2" fmla="*/ 708660 h 1417320"/>
                            <a:gd name="connsiteX3" fmla="*/ 1163955 w 1518285"/>
                            <a:gd name="connsiteY3" fmla="*/ 708660 h 1417320"/>
                            <a:gd name="connsiteX4" fmla="*/ 1163955 w 1518285"/>
                            <a:gd name="connsiteY4" fmla="*/ 708660 h 1417320"/>
                            <a:gd name="connsiteX5" fmla="*/ 1518285 w 1518285"/>
                            <a:gd name="connsiteY5" fmla="*/ 708660 h 1417320"/>
                            <a:gd name="connsiteX6" fmla="*/ 1163955 w 1518285"/>
                            <a:gd name="connsiteY6" fmla="*/ 708660 h 1417320"/>
                            <a:gd name="connsiteX7" fmla="*/ 1163955 w 1518285"/>
                            <a:gd name="connsiteY7" fmla="*/ 708660 h 1417320"/>
                            <a:gd name="connsiteX8" fmla="*/ 986536 w 1518285"/>
                            <a:gd name="connsiteY8" fmla="*/ 708660 h 1417320"/>
                            <a:gd name="connsiteX9" fmla="*/ 986536 w 1518285"/>
                            <a:gd name="connsiteY9" fmla="*/ 1417320 h 1417320"/>
                            <a:gd name="connsiteX10" fmla="*/ 0 w 1518285"/>
                            <a:gd name="connsiteY10" fmla="*/ 1417320 h 1417320"/>
                            <a:gd name="connsiteX11" fmla="*/ 0 w 1518285"/>
                            <a:gd name="connsiteY11" fmla="*/ 0 h 1417320"/>
                            <a:gd name="connsiteX0" fmla="*/ 0 w 1163955"/>
                            <a:gd name="connsiteY0" fmla="*/ 0 h 1417320"/>
                            <a:gd name="connsiteX1" fmla="*/ 986536 w 1163955"/>
                            <a:gd name="connsiteY1" fmla="*/ 0 h 1417320"/>
                            <a:gd name="connsiteX2" fmla="*/ 986536 w 1163955"/>
                            <a:gd name="connsiteY2" fmla="*/ 708660 h 1417320"/>
                            <a:gd name="connsiteX3" fmla="*/ 1163955 w 1163955"/>
                            <a:gd name="connsiteY3" fmla="*/ 708660 h 1417320"/>
                            <a:gd name="connsiteX4" fmla="*/ 1163955 w 1163955"/>
                            <a:gd name="connsiteY4" fmla="*/ 708660 h 1417320"/>
                            <a:gd name="connsiteX5" fmla="*/ 1163955 w 1163955"/>
                            <a:gd name="connsiteY5" fmla="*/ 708660 h 1417320"/>
                            <a:gd name="connsiteX6" fmla="*/ 1163955 w 1163955"/>
                            <a:gd name="connsiteY6" fmla="*/ 708660 h 1417320"/>
                            <a:gd name="connsiteX7" fmla="*/ 986536 w 1163955"/>
                            <a:gd name="connsiteY7" fmla="*/ 708660 h 1417320"/>
                            <a:gd name="connsiteX8" fmla="*/ 986536 w 1163955"/>
                            <a:gd name="connsiteY8" fmla="*/ 1417320 h 1417320"/>
                            <a:gd name="connsiteX9" fmla="*/ 0 w 1163955"/>
                            <a:gd name="connsiteY9" fmla="*/ 1417320 h 1417320"/>
                            <a:gd name="connsiteX10" fmla="*/ 0 w 1163955"/>
                            <a:gd name="connsiteY10" fmla="*/ 0 h 1417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63955" h="1417320">
                              <a:moveTo>
                                <a:pt x="0" y="0"/>
                              </a:moveTo>
                              <a:lnTo>
                                <a:pt x="986536" y="0"/>
                              </a:lnTo>
                              <a:lnTo>
                                <a:pt x="986536" y="708660"/>
                              </a:lnTo>
                              <a:lnTo>
                                <a:pt x="1163955" y="708660"/>
                              </a:lnTo>
                              <a:lnTo>
                                <a:pt x="1163955" y="708660"/>
                              </a:lnTo>
                              <a:lnTo>
                                <a:pt x="1163955" y="708660"/>
                              </a:lnTo>
                              <a:lnTo>
                                <a:pt x="1163955" y="708660"/>
                              </a:lnTo>
                              <a:lnTo>
                                <a:pt x="986536" y="708660"/>
                              </a:lnTo>
                              <a:lnTo>
                                <a:pt x="986536" y="1417320"/>
                              </a:lnTo>
                              <a:lnTo>
                                <a:pt x="0" y="1417320"/>
                              </a:lnTo>
                              <a:lnTo>
                                <a:pt x="0" y="0"/>
                              </a:lnTo>
                              <a:close/>
                            </a:path>
                          </a:pathLst>
                        </a:cu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408952FB" w14:textId="77777777" w:rsidR="000D15CF" w:rsidRPr="00245ACC" w:rsidRDefault="000D15CF" w:rsidP="000D15CF">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6F41381B" w14:textId="77777777" w:rsidR="000D15CF" w:rsidRPr="00214E7F" w:rsidRDefault="000D15CF" w:rsidP="000D15CF">
                            <w:pPr>
                              <w:pStyle w:val="FigureTitles"/>
                              <w:rPr>
                                <w:b w:val="0"/>
                                <w:bCs w:val="0"/>
                                <w:color w:val="000000" w:themeColor="text1"/>
                                <w:sz w:val="16"/>
                                <w:szCs w:val="16"/>
                                <w14:textOutline w14:w="12700" w14:cap="rnd" w14:cmpd="sng" w14:algn="ctr">
                                  <w14:noFill/>
                                  <w14:prstDash w14:val="solid"/>
                                  <w14:bevel/>
                                </w14:textOutline>
                              </w:rPr>
                            </w:pPr>
                            <w:r w:rsidRPr="00214E7F">
                              <w:rPr>
                                <w:b w:val="0"/>
                                <w:bCs w:val="0"/>
                                <w:color w:val="000000" w:themeColor="text1"/>
                                <w:sz w:val="16"/>
                                <w:szCs w:val="16"/>
                                <w14:textOutline w14:w="12700" w14:cap="rnd" w14:cmpd="sng" w14:algn="ctr">
                                  <w14:noFill/>
                                  <w14:prstDash w14:val="solid"/>
                                  <w14:bevel/>
                                </w14:textOutline>
                              </w:rPr>
                              <w:t xml:space="preserve">Refer </w:t>
                            </w:r>
                            <w:r w:rsidRPr="00214E7F">
                              <w:rPr>
                                <w:color w:val="000000" w:themeColor="text1"/>
                                <w:sz w:val="16"/>
                                <w:szCs w:val="16"/>
                                <w14:textOutline w14:w="12700" w14:cap="rnd" w14:cmpd="sng" w14:algn="ctr">
                                  <w14:noFill/>
                                  <w14:prstDash w14:val="solid"/>
                                  <w14:bevel/>
                                </w14:textOutline>
                              </w:rPr>
                              <w:t>Brief #2</w:t>
                            </w:r>
                            <w:r w:rsidRPr="00214E7F">
                              <w:rPr>
                                <w:b w:val="0"/>
                                <w:bCs w:val="0"/>
                                <w:color w:val="000000" w:themeColor="text1"/>
                                <w:sz w:val="16"/>
                                <w:szCs w:val="16"/>
                                <w14:textOutline w14:w="12700" w14:cap="rnd" w14:cmpd="sng" w14:algn="ctr">
                                  <w14:noFill/>
                                  <w14:prstDash w14:val="solid"/>
                                  <w14:bevel/>
                                </w14:textOutline>
                              </w:rPr>
                              <w:t xml:space="preserve">: </w:t>
                            </w:r>
                            <w:hyperlink r:id="rId8" w:history="1">
                              <w:r w:rsidRPr="00424CE1">
                                <w:rPr>
                                  <w:rStyle w:val="Hyperlink"/>
                                  <w:b w:val="0"/>
                                  <w:bCs w:val="0"/>
                                  <w:sz w:val="16"/>
                                  <w:szCs w:val="16"/>
                                  <w14:textOutline w14:w="12700" w14:cap="rnd" w14:cmpd="sng" w14:algn="ctr">
                                    <w14:noFill/>
                                    <w14:prstDash w14:val="solid"/>
                                    <w14:bevel/>
                                  </w14:textOutline>
                                </w:rPr>
                                <w:t>NC Triple P Implementation Evaluation</w:t>
                              </w:r>
                              <w:r>
                                <w:rPr>
                                  <w:rStyle w:val="Hyperlink"/>
                                  <w:b w:val="0"/>
                                  <w:bCs w:val="0"/>
                                  <w:sz w:val="16"/>
                                  <w:szCs w:val="16"/>
                                  <w14:textOutline w14:w="12700" w14:cap="rnd" w14:cmpd="sng" w14:algn="ctr">
                                    <w14:noFill/>
                                    <w14:prstDash w14:val="solid"/>
                                    <w14:bevel/>
                                  </w14:textOutline>
                                </w:rPr>
                                <w:t>,</w:t>
                              </w:r>
                            </w:hyperlink>
                            <w:r>
                              <w:rPr>
                                <w:rStyle w:val="Hyperlink"/>
                                <w:b w:val="0"/>
                                <w:bCs w:val="0"/>
                                <w:sz w:val="16"/>
                                <w:szCs w:val="16"/>
                                <w14:textOutline w14:w="12700" w14:cap="rnd" w14:cmpd="sng" w14:algn="ctr">
                                  <w14:noFill/>
                                  <w14:prstDash w14:val="solid"/>
                                  <w14:bevel/>
                                </w14:textOutline>
                              </w:rPr>
                              <w:t xml:space="preserve"> </w:t>
                            </w:r>
                            <w:r w:rsidRPr="00214E7F">
                              <w:rPr>
                                <w:rStyle w:val="Hyperlink"/>
                                <w:b w:val="0"/>
                                <w:bCs w:val="0"/>
                                <w:color w:val="000000" w:themeColor="text1"/>
                                <w:sz w:val="16"/>
                                <w:szCs w:val="16"/>
                                <w:u w:val="none"/>
                                <w14:textOutline w14:w="12700" w14:cap="rnd" w14:cmpd="sng" w14:algn="ctr">
                                  <w14:noFill/>
                                  <w14:prstDash w14:val="solid"/>
                                  <w14:bevel/>
                                </w14:textOutline>
                              </w:rPr>
                              <w:t>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D0CFAC" id="Rectangle 3" o:spid="_x0000_s1026" alt="Dive Deeper: Refer to brief 2 for more information." style="position:absolute;left:0;text-align:left;margin-left:-11.3pt;margin-top:9.15pt;width:91.65pt;height:9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3955,1417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" adj="-11796480,,5400" path="m,l986536,r,708660l1163955,708660r,l1163955,708660r,l986536,708660r,708660l,1417320,,xe" filled="f" strokecolor="#20bec7" strokeweight="1pt">
                <v:stroke joinstyle="miter"/>
                <v:formulas/>
                <v:path arrowok="t" o:connecttype="custom" o:connectlocs="0,0;986536,0;986536,572135;1163955,572135;1163955,572135;1163955,572135;1163955,572135;986536,572135;986536,1144270;0,1144270;0,0" o:connectangles="0,0,0,0,0,0,0,0,0,0,0" textboxrect="0,0,1163955,1417320"/>
                <v:textbox inset=",7.2pt,21.6pt,0">
                  <w:txbxContent>
                    <w:p w14:paraId="408952FB" w14:textId="77777777" w:rsidR="000D15CF" w:rsidRPr="00245ACC" w:rsidRDefault="000D15CF" w:rsidP="000D15CF">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6F41381B" w14:textId="77777777" w:rsidR="000D15CF" w:rsidRPr="00214E7F" w:rsidRDefault="000D15CF" w:rsidP="000D15CF">
                      <w:pPr>
                        <w:pStyle w:val="FigureTitles"/>
                        <w:rPr>
                          <w:b w:val="0"/>
                          <w:bCs w:val="0"/>
                          <w:color w:val="000000" w:themeColor="text1"/>
                          <w:sz w:val="16"/>
                          <w:szCs w:val="16"/>
                          <w14:textOutline w14:w="12700" w14:cap="rnd" w14:cmpd="sng" w14:algn="ctr">
                            <w14:noFill/>
                            <w14:prstDash w14:val="solid"/>
                            <w14:bevel/>
                          </w14:textOutline>
                        </w:rPr>
                      </w:pPr>
                      <w:r w:rsidRPr="00214E7F">
                        <w:rPr>
                          <w:b w:val="0"/>
                          <w:bCs w:val="0"/>
                          <w:color w:val="000000" w:themeColor="text1"/>
                          <w:sz w:val="16"/>
                          <w:szCs w:val="16"/>
                          <w14:textOutline w14:w="12700" w14:cap="rnd" w14:cmpd="sng" w14:algn="ctr">
                            <w14:noFill/>
                            <w14:prstDash w14:val="solid"/>
                            <w14:bevel/>
                          </w14:textOutline>
                        </w:rPr>
                        <w:t xml:space="preserve">Refer </w:t>
                      </w:r>
                      <w:r w:rsidRPr="00214E7F">
                        <w:rPr>
                          <w:color w:val="000000" w:themeColor="text1"/>
                          <w:sz w:val="16"/>
                          <w:szCs w:val="16"/>
                          <w14:textOutline w14:w="12700" w14:cap="rnd" w14:cmpd="sng" w14:algn="ctr">
                            <w14:noFill/>
                            <w14:prstDash w14:val="solid"/>
                            <w14:bevel/>
                          </w14:textOutline>
                        </w:rPr>
                        <w:t>Brief #2</w:t>
                      </w:r>
                      <w:r w:rsidRPr="00214E7F">
                        <w:rPr>
                          <w:b w:val="0"/>
                          <w:bCs w:val="0"/>
                          <w:color w:val="000000" w:themeColor="text1"/>
                          <w:sz w:val="16"/>
                          <w:szCs w:val="16"/>
                          <w14:textOutline w14:w="12700" w14:cap="rnd" w14:cmpd="sng" w14:algn="ctr">
                            <w14:noFill/>
                            <w14:prstDash w14:val="solid"/>
                            <w14:bevel/>
                          </w14:textOutline>
                        </w:rPr>
                        <w:t xml:space="preserve">: </w:t>
                      </w:r>
                      <w:hyperlink r:id="rId9" w:history="1">
                        <w:r w:rsidRPr="00424CE1">
                          <w:rPr>
                            <w:rStyle w:val="Hyperlink"/>
                            <w:b w:val="0"/>
                            <w:bCs w:val="0"/>
                            <w:sz w:val="16"/>
                            <w:szCs w:val="16"/>
                            <w14:textOutline w14:w="12700" w14:cap="rnd" w14:cmpd="sng" w14:algn="ctr">
                              <w14:noFill/>
                              <w14:prstDash w14:val="solid"/>
                              <w14:bevel/>
                            </w14:textOutline>
                          </w:rPr>
                          <w:t>NC Triple P Implementation Evaluation</w:t>
                        </w:r>
                        <w:r>
                          <w:rPr>
                            <w:rStyle w:val="Hyperlink"/>
                            <w:b w:val="0"/>
                            <w:bCs w:val="0"/>
                            <w:sz w:val="16"/>
                            <w:szCs w:val="16"/>
                            <w14:textOutline w14:w="12700" w14:cap="rnd" w14:cmpd="sng" w14:algn="ctr">
                              <w14:noFill/>
                              <w14:prstDash w14:val="solid"/>
                              <w14:bevel/>
                            </w14:textOutline>
                          </w:rPr>
                          <w:t>,</w:t>
                        </w:r>
                      </w:hyperlink>
                      <w:r>
                        <w:rPr>
                          <w:rStyle w:val="Hyperlink"/>
                          <w:b w:val="0"/>
                          <w:bCs w:val="0"/>
                          <w:sz w:val="16"/>
                          <w:szCs w:val="16"/>
                          <w14:textOutline w14:w="12700" w14:cap="rnd" w14:cmpd="sng" w14:algn="ctr">
                            <w14:noFill/>
                            <w14:prstDash w14:val="solid"/>
                            <w14:bevel/>
                          </w14:textOutline>
                        </w:rPr>
                        <w:t xml:space="preserve"> </w:t>
                      </w:r>
                      <w:r w:rsidRPr="00214E7F">
                        <w:rPr>
                          <w:rStyle w:val="Hyperlink"/>
                          <w:b w:val="0"/>
                          <w:bCs w:val="0"/>
                          <w:color w:val="000000" w:themeColor="text1"/>
                          <w:sz w:val="16"/>
                          <w:szCs w:val="16"/>
                          <w:u w:val="none"/>
                          <w14:textOutline w14:w="12700" w14:cap="rnd" w14:cmpd="sng" w14:algn="ctr">
                            <w14:noFill/>
                            <w14:prstDash w14:val="solid"/>
                            <w14:bevel/>
                          </w14:textOutline>
                        </w:rPr>
                        <w:t>for more information.</w:t>
                      </w:r>
                    </w:p>
                  </w:txbxContent>
                </v:textbox>
              </v:shape>
            </w:pict>
          </mc:Fallback>
        </mc:AlternateContent>
      </w:r>
      <w:r w:rsidR="00974A8E">
        <w:t>c</w:t>
      </w:r>
      <w:r w:rsidR="00974A8E" w:rsidRPr="00015BAD">
        <w:t xml:space="preserve">urrent research and </w:t>
      </w:r>
      <w:r w:rsidR="00974A8E">
        <w:t>effective</w:t>
      </w:r>
      <w:r w:rsidR="00974A8E" w:rsidRPr="00015BAD">
        <w:t xml:space="preserve"> practices from implementation science,</w:t>
      </w:r>
      <w:r w:rsidR="00974A8E">
        <w:t xml:space="preserve"> particularly those that reinforce health equity and may help counteract historical system and community </w:t>
      </w:r>
      <w:proofErr w:type="gramStart"/>
      <w:r w:rsidR="00974A8E">
        <w:t>inequities;</w:t>
      </w:r>
      <w:proofErr w:type="gramEnd"/>
      <w:r w:rsidR="00974A8E">
        <w:t xml:space="preserve"> </w:t>
      </w:r>
    </w:p>
    <w:p w14:paraId="77F4A405" w14:textId="08A1B3C3" w:rsidR="00974A8E" w:rsidRDefault="00974A8E" w:rsidP="00974A8E">
      <w:pPr>
        <w:pStyle w:val="ListBullet"/>
      </w:pPr>
      <w:r w:rsidRPr="00424CE1">
        <w:rPr>
          <w:shd w:val="clear" w:color="auto" w:fill="EEF6FA"/>
        </w:rPr>
        <w:t>mixed-methods evaluation findings from the North Carolina Triple P Implementation Evaluations (TPIE and TPIE-Qualitative);</w:t>
      </w:r>
      <w:r>
        <w:t xml:space="preserve"> </w:t>
      </w:r>
      <w:r w:rsidRPr="00015BAD">
        <w:t>and</w:t>
      </w:r>
    </w:p>
    <w:p w14:paraId="7F455B6F" w14:textId="4B0F99EC" w:rsidR="00974A8E" w:rsidRDefault="00974A8E" w:rsidP="00974A8E">
      <w:pPr>
        <w:pStyle w:val="ListBullet"/>
      </w:pPr>
      <w:r>
        <w:t>p</w:t>
      </w:r>
      <w:r w:rsidRPr="009936C6">
        <w:t>artnerships with statewide stakeholders involved in scaling-up the Triple P system.</w:t>
      </w:r>
    </w:p>
    <w:p w14:paraId="22D1A8B0" w14:textId="77777777" w:rsidR="00974A8E" w:rsidRDefault="00974A8E" w:rsidP="00974A8E"/>
    <w:p w14:paraId="3A042C4D" w14:textId="6041290C" w:rsidR="00974A8E" w:rsidRDefault="00974A8E" w:rsidP="00974A8E">
      <w:r>
        <w:rPr>
          <w:color w:val="000000" w:themeColor="text1"/>
          <w:sz w:val="24"/>
          <w:szCs w:val="24"/>
        </w:rPr>
        <w:t>In the next section,</w:t>
      </w:r>
      <w:r w:rsidRPr="006805DA">
        <w:rPr>
          <w:color w:val="000000" w:themeColor="text1"/>
          <w:sz w:val="24"/>
          <w:szCs w:val="24"/>
        </w:rPr>
        <w:t xml:space="preserve"> we offer a brief synopsis of the components of implementation science</w:t>
      </w:r>
      <w:r>
        <w:rPr>
          <w:color w:val="000000" w:themeColor="text1"/>
          <w:sz w:val="24"/>
          <w:szCs w:val="24"/>
        </w:rPr>
        <w:t xml:space="preserve"> as they pertain to the ICTP projects</w:t>
      </w:r>
      <w:r w:rsidRPr="006805DA">
        <w:rPr>
          <w:color w:val="000000" w:themeColor="text1"/>
          <w:sz w:val="24"/>
          <w:szCs w:val="24"/>
        </w:rPr>
        <w:t>.</w:t>
      </w:r>
    </w:p>
    <w:p w14:paraId="52FAE7E3" w14:textId="172493E3" w:rsidR="008F52B4" w:rsidRDefault="008F52B4" w:rsidP="008F52B4"/>
    <w:p w14:paraId="3FB8FE5B" w14:textId="77777777" w:rsidR="00D2739D" w:rsidRDefault="00D2739D" w:rsidP="008F52B4"/>
    <w:p w14:paraId="31C31BB2" w14:textId="77777777" w:rsidR="00974A8E" w:rsidRPr="008203A8" w:rsidRDefault="00974A8E" w:rsidP="00974A8E">
      <w:pPr>
        <w:pStyle w:val="Heading2"/>
        <w:spacing w:before="240"/>
        <w:rPr>
          <w:rFonts w:cstheme="majorHAnsi"/>
        </w:rPr>
      </w:pPr>
      <w:r w:rsidRPr="008203A8">
        <w:rPr>
          <w:rFonts w:cstheme="majorHAnsi"/>
        </w:rPr>
        <w:t>Implementation Science: Research &amp; Practice</w:t>
      </w:r>
    </w:p>
    <w:p w14:paraId="250A3EE0" w14:textId="77777777" w:rsidR="00974A8E" w:rsidRDefault="00974A8E" w:rsidP="00974A8E">
      <w:r>
        <w:t xml:space="preserve">Implementation science is </w:t>
      </w:r>
      <w:r w:rsidRPr="00AE6868">
        <w:t>defined as “the scientific study of methods to promote the systematic uptake of research findings and other evidence-based practices into routine practice, and, hence, to improve the quality and effectiveness of health services</w:t>
      </w:r>
      <w:r>
        <w:t xml:space="preserve"> and care</w:t>
      </w:r>
      <w:r w:rsidRPr="00AE6868">
        <w:t>”</w:t>
      </w:r>
      <w:r>
        <w:t xml:space="preserve"> [3].</w:t>
      </w:r>
      <w:r w:rsidRPr="00AE6868">
        <w:t xml:space="preserve"> </w:t>
      </w:r>
      <w:r>
        <w:t xml:space="preserve">In accordance with this definition, implementation science is evolving into a field that recognizes both research and practice activities (see Figure 4.1; </w:t>
      </w:r>
      <w:r>
        <w:fldChar w:fldCharType="begin"/>
      </w:r>
      <w:r>
        <w:instrText xml:space="preserve"> ADDIN EN.CITE &lt;EndNote&gt;&lt;Cite&gt;&lt;Author&gt;Ramaswamy&lt;/Author&gt;&lt;Year&gt;2019&lt;/Year&gt;&lt;RecNum&gt;3920&lt;/RecNum&gt;&lt;DisplayText&gt;[8]&lt;/DisplayText&gt;&lt;record&gt;&lt;rec-number&gt;3920&lt;/rec-number&gt;&lt;foreign-keys&gt;&lt;key app="EN" db-id="92tw0sxaredrdoeva2ovde9md0ept0ezp55z" timestamp="1591022073"&gt;3920&lt;/key&gt;&lt;/foreign-keys&gt;&lt;ref-type name="Journal Article"&gt;17&lt;/ref-type&gt;&lt;contributors&gt;&lt;authors&gt;&lt;author&gt;Ramaswamy, R.&lt;/author&gt;&lt;author&gt;Mosnier, J.&lt;/author&gt;&lt;author&gt;Reed, K.&lt;/author&gt;&lt;author&gt;Powell, B. J.&lt;/author&gt;&lt;author&gt;Schenck, A. P.&lt;/author&gt;&lt;/authors&gt;&lt;/contributors&gt;&lt;auth-address&gt;Gillings School of Global Public Health, University of North Carolina, Chapel Hill, USA. ramaswam@email.unc.edu.&amp;#xD;Gillings School of Global Public Health, University of North Carolina, Chapel Hill, USA.&lt;/auth-address&gt;&lt;titles&gt;&lt;title&gt;Building capacity for Public Health 3.0: introducing implementation science into an MPH curriculum&lt;/title&gt;&lt;secondary-title&gt;Implement Sci&lt;/secondary-title&gt;&lt;/titles&gt;&lt;periodical&gt;&lt;full-title&gt;Implement Sci&lt;/full-title&gt;&lt;/periodical&gt;&lt;pages&gt;18&lt;/pages&gt;&lt;volume&gt;14&lt;/volume&gt;&lt;number&gt;1&lt;/number&gt;&lt;edition&gt;2019/03/02&lt;/edition&gt;&lt;keywords&gt;&lt;keyword&gt;*Capacity Building&lt;/keyword&gt;&lt;keyword&gt;Curriculum&lt;/keyword&gt;&lt;keyword&gt;Education, Graduate/*methods&lt;/keyword&gt;&lt;keyword&gt;Humans&lt;/keyword&gt;&lt;keyword&gt;*Implementation Science&lt;/keyword&gt;&lt;keyword&gt;North Carolina&lt;/keyword&gt;&lt;keyword&gt;Professional Competence/standards&lt;/keyword&gt;&lt;keyword&gt;Public Health/*education&lt;/keyword&gt;&lt;keyword&gt;Schools, Medical&lt;/keyword&gt;&lt;keyword&gt;*Global health&lt;/keyword&gt;&lt;keyword&gt;*Public Health 3.0&lt;/keyword&gt;&lt;/keywords&gt;&lt;dates&gt;&lt;year&gt;2019&lt;/year&gt;&lt;pub-dates&gt;&lt;date&gt;Feb 28&lt;/date&gt;&lt;/pub-dates&gt;&lt;/dates&gt;&lt;isbn&gt;1748-5908 (Electronic)&amp;#xD;1748-5908 (Linking)&lt;/isbn&gt;&lt;accession-num&gt;30819223&lt;/accession-num&gt;&lt;urls&gt;&lt;related-urls&gt;&lt;url&gt;https://www.ncbi.nlm.nih.gov/pubmed/30819223&lt;/url&gt;&lt;/related-urls&gt;&lt;/urls&gt;&lt;custom2&gt;PMC6396520&lt;/custom2&gt;&lt;electronic-resource-num&gt;10.1186/s13012-019-0866-6&lt;/electronic-resource-num&gt;&lt;/record&gt;&lt;/Cite&gt;&lt;/EndNote&gt;</w:instrText>
      </w:r>
      <w:r>
        <w:fldChar w:fldCharType="separate"/>
      </w:r>
      <w:r>
        <w:rPr>
          <w:noProof/>
        </w:rPr>
        <w:t>[4]</w:t>
      </w:r>
      <w:r>
        <w:fldChar w:fldCharType="end"/>
      </w:r>
      <w:r>
        <w:t xml:space="preserve">). </w:t>
      </w:r>
      <w:r w:rsidRPr="1AEF4C3F">
        <w:rPr>
          <w:i/>
          <w:iCs/>
        </w:rPr>
        <w:t>Implementation research</w:t>
      </w:r>
      <w:r>
        <w:t xml:space="preserve"> focuses on developing and testing generalizable approaches to applying effective interventions (e.g., programs, practices, and policies) in typical human service settings. </w:t>
      </w:r>
      <w:r w:rsidRPr="1AEF4C3F">
        <w:rPr>
          <w:i/>
          <w:iCs/>
        </w:rPr>
        <w:t>Implementation practice</w:t>
      </w:r>
      <w:r>
        <w:t xml:space="preserve"> focuses on tailoring </w:t>
      </w:r>
      <w:r>
        <w:lastRenderedPageBreak/>
        <w:t xml:space="preserve">and applying those approaches within context-specific settings to achieve intended outcomes. Implementation research and practice also entail developing innovative interventions or adapting existing effective interventions in real-world practice settings. Implementation research and practice operate on a common set of implementation outcomes: adoption, feasibility, appropriateness, fidelity, acceptability, reach, cost, and sustainability </w:t>
      </w:r>
      <w:r>
        <w:fldChar w:fldCharType="begin"/>
      </w:r>
      <w:r>
        <w:instrText xml:space="preserve"> ADDIN EN.CITE &lt;EndNote&gt;&lt;Cite&gt;&lt;Author&gt;Proctor&lt;/Author&gt;&lt;Year&gt;2011&lt;/Year&gt;&lt;RecNum&gt;3376&lt;/RecNum&gt;&lt;DisplayText&gt;[9]&lt;/DisplayText&gt;&lt;record&gt;&lt;rec-number&gt;3376&lt;/rec-number&gt;&lt;foreign-keys&gt;&lt;key app="EN" db-id="92tw0sxaredrdoeva2ovde9md0ept0ezp55z" timestamp="0"&gt;3376&lt;/key&gt;&lt;/foreign-keys&gt;&lt;ref-type name="Journal Article"&gt;17&lt;/ref-type&gt;&lt;contributors&gt;&lt;authors&gt;&lt;author&gt;Proctor, Enola&lt;/author&gt;&lt;author&gt;Silmere, Hiie&lt;/author&gt;&lt;author&gt;Raghavan, Ramesh&lt;/author&gt;&lt;author&gt;Hovmand, Peter&lt;/author&gt;&lt;author&gt;Aarons, Greg&lt;/author&gt;&lt;author&gt;Bunger, Alicia&lt;/author&gt;&lt;author&gt;Griffey, Richard&lt;/author&gt;&lt;author&gt;Hensley, Melissa&lt;/author&gt;&lt;/authors&gt;&lt;/contributors&gt;&lt;titles&gt;&lt;title&gt;Outcomes for Implementation Research: Conceptual Distinctions, Measurement Challenges, and Research Agenda&lt;/title&gt;&lt;secondary-title&gt;Administration and Policy in Mental Health and Mental Health Services Research&lt;/secondary-title&gt;&lt;/titles&gt;&lt;periodical&gt;&lt;full-title&gt;Administration and Policy in Mental Health and Mental Health Services Research&lt;/full-title&gt;&lt;/periodical&gt;&lt;pages&gt;65-76&lt;/pages&gt;&lt;volume&gt;38&lt;/volume&gt;&lt;number&gt;2&lt;/number&gt;&lt;dates&gt;&lt;year&gt;2011&lt;/year&gt;&lt;/dates&gt;&lt;isbn&gt;1573-3289&lt;/isbn&gt;&lt;label&gt;Proctor2011&lt;/label&gt;&lt;work-type&gt;journal article&lt;/work-type&gt;&lt;urls&gt;&lt;related-urls&gt;&lt;url&gt;http://dx.doi.org/10.1007/s10488-010-0319-7&lt;/url&gt;&lt;/related-urls&gt;&lt;/urls&gt;&lt;electronic-resource-num&gt;10.1007/s10488-010-0319-7&lt;/electronic-resource-num&gt;&lt;/record&gt;&lt;/Cite&gt;&lt;/EndNote&gt;</w:instrText>
      </w:r>
      <w:r>
        <w:fldChar w:fldCharType="separate"/>
      </w:r>
      <w:r>
        <w:rPr>
          <w:noProof/>
        </w:rPr>
        <w:t>[5]</w:t>
      </w:r>
      <w:r>
        <w:fldChar w:fldCharType="end"/>
      </w:r>
      <w:r>
        <w:t>.</w:t>
      </w:r>
    </w:p>
    <w:p w14:paraId="53896D06" w14:textId="77777777" w:rsidR="00974A8E" w:rsidRDefault="00974A8E" w:rsidP="00974A8E"/>
    <w:p w14:paraId="61632ACB" w14:textId="7D498885" w:rsidR="004F3458" w:rsidRPr="00C75F47" w:rsidRDefault="00974A8E" w:rsidP="00C75F47">
      <w:pPr>
        <w:pStyle w:val="Caption"/>
      </w:pPr>
      <w:r>
        <w:rPr>
          <w:b/>
          <w:bCs/>
        </w:rPr>
        <w:t>Figu</w:t>
      </w:r>
      <w:r w:rsidRPr="00A37A44">
        <w:rPr>
          <w:b/>
          <w:bCs/>
        </w:rPr>
        <w:t xml:space="preserve">re </w:t>
      </w:r>
      <w:r>
        <w:rPr>
          <w:b/>
          <w:bCs/>
        </w:rPr>
        <w:t>4.</w:t>
      </w:r>
      <w:r w:rsidRPr="00A37A44">
        <w:rPr>
          <w:b/>
          <w:bCs/>
          <w:i/>
        </w:rPr>
        <w:fldChar w:fldCharType="begin"/>
      </w:r>
      <w:r w:rsidRPr="00A37A44">
        <w:rPr>
          <w:b/>
          <w:bCs/>
        </w:rPr>
        <w:instrText xml:space="preserve"> SEQ Figure \* ARABIC </w:instrText>
      </w:r>
      <w:r w:rsidRPr="00A37A44">
        <w:rPr>
          <w:b/>
          <w:bCs/>
          <w:i/>
        </w:rPr>
        <w:fldChar w:fldCharType="separate"/>
      </w:r>
      <w:r>
        <w:rPr>
          <w:b/>
          <w:bCs/>
          <w:noProof/>
        </w:rPr>
        <w:t>1</w:t>
      </w:r>
      <w:r w:rsidRPr="00A37A44">
        <w:rPr>
          <w:b/>
          <w:bCs/>
          <w:i/>
          <w:noProof/>
        </w:rPr>
        <w:fldChar w:fldCharType="end"/>
      </w:r>
      <w:r w:rsidRPr="00A37A44">
        <w:t xml:space="preserve"> The </w:t>
      </w:r>
      <w:r w:rsidRPr="00C925C7">
        <w:t>Two Equally Important Components</w:t>
      </w:r>
      <w:r w:rsidRPr="00C925C7">
        <w:rPr>
          <w:noProof/>
        </w:rPr>
        <w:t xml:space="preserve"> </w:t>
      </w:r>
      <w:r w:rsidRPr="00A37A44">
        <w:rPr>
          <w:noProof/>
        </w:rPr>
        <w:t xml:space="preserve">of </w:t>
      </w:r>
      <w:r w:rsidRPr="00C925C7">
        <w:rPr>
          <w:noProof/>
        </w:rPr>
        <w:t>Implementation Science</w:t>
      </w:r>
      <w:r>
        <w:rPr>
          <w:noProof/>
        </w:rPr>
        <w:t xml:space="preserve"> [4, p. 2]</w:t>
      </w:r>
    </w:p>
    <w:p w14:paraId="346D9E5D" w14:textId="166135C6" w:rsidR="00BC67E3" w:rsidRDefault="00974A8E" w:rsidP="00ED7F6F">
      <w:pPr>
        <w:rPr>
          <w:rFonts w:eastAsia="Libre Baskerville"/>
          <w:b/>
          <w:bCs/>
        </w:rPr>
      </w:pPr>
      <w:r w:rsidRPr="0011532D">
        <w:rPr>
          <w:rFonts w:ascii="Libre Baskerville" w:hAnsi="Libre Baskerville" w:cs="Merriweather"/>
          <w:noProof/>
        </w:rPr>
        <w:drawing>
          <wp:inline distT="0" distB="0" distL="0" distR="0" wp14:anchorId="2A589B9D" wp14:editId="35C74451">
            <wp:extent cx="4738916" cy="2243470"/>
            <wp:effectExtent l="0" t="0" r="0" b="4445"/>
            <wp:docPr id="2068682590" name="Picture 1" descr="Definition of implementation approach and implementation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682590" name="Picture 1" descr="Definition of implementation approach and implementation practice. "/>
                    <pic:cNvPicPr/>
                  </pic:nvPicPr>
                  <pic:blipFill rotWithShape="1">
                    <a:blip r:embed="rId10" cstate="print">
                      <a:extLst>
                        <a:ext uri="{28A0092B-C50C-407E-A947-70E740481C1C}">
                          <a14:useLocalDpi xmlns:a14="http://schemas.microsoft.com/office/drawing/2010/main" val="0"/>
                        </a:ext>
                      </a:extLst>
                    </a:blip>
                    <a:srcRect l="9989" t="14445" r="13695" b="17577"/>
                    <a:stretch/>
                  </pic:blipFill>
                  <pic:spPr bwMode="auto">
                    <a:xfrm>
                      <a:off x="0" y="0"/>
                      <a:ext cx="4764178" cy="2255429"/>
                    </a:xfrm>
                    <a:prstGeom prst="rect">
                      <a:avLst/>
                    </a:prstGeom>
                    <a:ln>
                      <a:noFill/>
                    </a:ln>
                    <a:extLst>
                      <a:ext uri="{53640926-AAD7-44D8-BBD7-CCE9431645EC}">
                        <a14:shadowObscured xmlns:a14="http://schemas.microsoft.com/office/drawing/2010/main"/>
                      </a:ext>
                    </a:extLst>
                  </pic:spPr>
                </pic:pic>
              </a:graphicData>
            </a:graphic>
          </wp:inline>
        </w:drawing>
      </w:r>
    </w:p>
    <w:p w14:paraId="6C612FD9" w14:textId="7D29823E" w:rsidR="008F52B4" w:rsidRDefault="008F52B4" w:rsidP="008F52B4">
      <w:pPr>
        <w:rPr>
          <w:rFonts w:eastAsia="Libre Baskerville"/>
        </w:rPr>
      </w:pPr>
    </w:p>
    <w:p w14:paraId="194446FD" w14:textId="3B01F08E" w:rsidR="00974A8E" w:rsidRDefault="00974A8E" w:rsidP="00974A8E">
      <w:r w:rsidRPr="7E52F19B">
        <w:t xml:space="preserve">In implementation practice, the focus of much of this compendium, the goal is not discovering whether things </w:t>
      </w:r>
      <w:r w:rsidRPr="7E52F19B">
        <w:rPr>
          <w:i/>
          <w:iCs/>
        </w:rPr>
        <w:t>could</w:t>
      </w:r>
      <w:r w:rsidRPr="7E52F19B">
        <w:t xml:space="preserve"> </w:t>
      </w:r>
      <w:r w:rsidRPr="7E52F19B">
        <w:rPr>
          <w:i/>
          <w:iCs/>
        </w:rPr>
        <w:t>work</w:t>
      </w:r>
      <w:r w:rsidRPr="7E52F19B">
        <w:t xml:space="preserve">, </w:t>
      </w:r>
      <w:r>
        <w:t xml:space="preserve">but </w:t>
      </w:r>
      <w:r w:rsidRPr="7E52F19B">
        <w:t xml:space="preserve">rather engineering strategies and approaches that enable things </w:t>
      </w:r>
      <w:r w:rsidRPr="7E52F19B">
        <w:rPr>
          <w:i/>
          <w:iCs/>
        </w:rPr>
        <w:t>to work</w:t>
      </w:r>
      <w:r w:rsidRPr="7E52F19B">
        <w:t xml:space="preserve"> within specific contexts and for involved partners </w:t>
      </w:r>
      <w:r w:rsidRPr="7E52F19B">
        <w:fldChar w:fldCharType="begin"/>
      </w:r>
      <w:r w:rsidRPr="7E52F19B">
        <w:instrText xml:space="preserve"> ADDIN EN.CITE &lt;EndNote&gt;&lt;Cite&gt;&lt;Author&gt;National Academies of Sciences&lt;/Author&gt;&lt;Year&gt;2019&lt;/Year&gt;&lt;RecNum&gt;5749&lt;/RecNum&gt;&lt;DisplayText&gt;[4]&lt;/DisplayText&gt;&lt;record&gt;&lt;rec-number&gt;5749&lt;/rec-number&gt;&lt;foreign-keys&gt;&lt;key app="EN" db-id="92tw0sxaredrdoeva2ovde9md0ept0ezp55z" timestamp="1601493759"&gt;5749&lt;/key&gt;&lt;/foreign-keys&gt;&lt;ref-type name="Book"&gt;6&lt;/ref-type&gt;&lt;contributors&gt;&lt;authors&gt;&lt;author&gt;National Academies of Sciences, Engineering, and Medicine&lt;/author&gt;&lt;/authors&gt;&lt;/contributors&gt;&lt;titles&gt;&lt;title&gt;Fostering Healthy Mental, Emotional, and Behavioral Development in Children and Youth: A National Agenda&lt;/title&gt;&lt;/titles&gt;&lt;dates&gt;&lt;year&gt;2019&lt;/year&gt;&lt;/dates&gt;&lt;pub-location&gt;Washington, DC&lt;/pub-location&gt;&lt;publisher&gt;The National Academies Press&lt;/publisher&gt;&lt;urls&gt;&lt;/urls&gt;&lt;electronic-resource-num&gt; doi: https://doi.org/10.17226/25201&lt;/electronic-resource-num&gt;&lt;/record&gt;&lt;/Cite&gt;&lt;/EndNote&gt;</w:instrText>
      </w:r>
      <w:r w:rsidRPr="7E52F19B">
        <w:fldChar w:fldCharType="separate"/>
      </w:r>
      <w:r w:rsidRPr="7E52F19B">
        <w:rPr>
          <w:noProof/>
        </w:rPr>
        <w:t>[</w:t>
      </w:r>
      <w:r>
        <w:rPr>
          <w:noProof/>
        </w:rPr>
        <w:t>6</w:t>
      </w:r>
      <w:r w:rsidRPr="7E52F19B">
        <w:rPr>
          <w:noProof/>
        </w:rPr>
        <w:t>]</w:t>
      </w:r>
      <w:r w:rsidRPr="7E52F19B">
        <w:fldChar w:fldCharType="end"/>
      </w:r>
      <w:r>
        <w:t xml:space="preserve">. The focus is on figuring out </w:t>
      </w:r>
      <w:r w:rsidRPr="00031978">
        <w:rPr>
          <w:i/>
          <w:iCs/>
        </w:rPr>
        <w:t>how</w:t>
      </w:r>
      <w:r>
        <w:t xml:space="preserve">, rather than examining </w:t>
      </w:r>
      <w:r w:rsidRPr="00031978">
        <w:rPr>
          <w:i/>
          <w:iCs/>
        </w:rPr>
        <w:t>whether</w:t>
      </w:r>
      <w:r>
        <w:rPr>
          <w:i/>
          <w:iCs/>
        </w:rPr>
        <w:t>,</w:t>
      </w:r>
      <w:r>
        <w:t xml:space="preserve"> success can be achieved. </w:t>
      </w:r>
      <w:r w:rsidRPr="7E52F19B">
        <w:t xml:space="preserve">To </w:t>
      </w:r>
      <w:r>
        <w:t>these</w:t>
      </w:r>
      <w:r w:rsidRPr="7E52F19B">
        <w:t xml:space="preserve"> end</w:t>
      </w:r>
      <w:r>
        <w:t>s</w:t>
      </w:r>
      <w:r w:rsidRPr="7E52F19B">
        <w:t xml:space="preserve">, the ICTP projects align with the view that implementation practice is a </w:t>
      </w:r>
      <w:r w:rsidRPr="00A8304A">
        <w:t>process</w:t>
      </w:r>
      <w:r w:rsidRPr="7E52F19B">
        <w:t xml:space="preserve"> that “involves multiple decisions, actions, and corrections to change the structures and conditions necessary to implement and sustain new practices and programs successfully” </w:t>
      </w:r>
      <w:r w:rsidRPr="7E52F19B">
        <w:fldChar w:fldCharType="begin"/>
      </w:r>
      <w:r w:rsidRPr="7E52F19B">
        <w:instrText xml:space="preserve"> ADDIN EN.CITE &lt;EndNote&gt;&lt;Cite&gt;&lt;Author&gt;Center&lt;/Author&gt;&lt;Year&gt;n.d.&lt;/Year&gt;&lt;RecNum&gt;11585&lt;/RecNum&gt;&lt;DisplayText&gt;[10]&lt;/DisplayText&gt;&lt;record&gt;&lt;rec-number&gt;11585&lt;/rec-number&gt;&lt;foreign-keys&gt;&lt;key app="EN" db-id="92tw0sxaredrdoeva2ovde9md0ept0ezp55z" timestamp="1657571328"&gt;11585&lt;/key&gt;&lt;/foreign-keys&gt;&lt;ref-type name="Web Page"&gt;12&lt;/ref-type&gt;&lt;contributors&gt;&lt;authors&gt;&lt;author&gt;State Implementation and Scaling-up of Evidence-based Practices Center&lt;/author&gt;&lt;/authors&gt;&lt;/contributors&gt;&lt;titles&gt;&lt;title&gt;Module 1: An Overview of Active Implementation Frameworks&lt;/title&gt;&lt;/titles&gt;&lt;dates&gt;&lt;year&gt;n.d.&lt;/year&gt;&lt;/dates&gt;&lt;urls&gt;&lt;related-urls&gt;&lt;url&gt;https://nirn.fpg.unc.edu/module-1&lt;/url&gt;&lt;/related-urls&gt;&lt;/urls&gt;&lt;/record&gt;&lt;/Cite&gt;&lt;/EndNote&gt;</w:instrText>
      </w:r>
      <w:r w:rsidRPr="7E52F19B">
        <w:fldChar w:fldCharType="separate"/>
      </w:r>
      <w:r w:rsidRPr="7E52F19B">
        <w:rPr>
          <w:noProof/>
        </w:rPr>
        <w:t>[</w:t>
      </w:r>
      <w:r>
        <w:rPr>
          <w:noProof/>
        </w:rPr>
        <w:t>7</w:t>
      </w:r>
      <w:r w:rsidRPr="7E52F19B">
        <w:rPr>
          <w:noProof/>
        </w:rPr>
        <w:t>]</w:t>
      </w:r>
      <w:r w:rsidRPr="7E52F19B">
        <w:fldChar w:fldCharType="end"/>
      </w:r>
      <w:r w:rsidRPr="7E52F19B">
        <w:t xml:space="preserve">. </w:t>
      </w:r>
    </w:p>
    <w:p w14:paraId="6B641606" w14:textId="77777777" w:rsidR="00974A8E" w:rsidRDefault="00974A8E" w:rsidP="00974A8E"/>
    <w:p w14:paraId="79ADD445" w14:textId="77777777" w:rsidR="00974A8E" w:rsidRDefault="00974A8E" w:rsidP="00974A8E">
      <w:r>
        <w:t xml:space="preserve">Among the partners engaged in implementation practice are </w:t>
      </w:r>
      <w:r w:rsidRPr="00AE1496">
        <w:rPr>
          <w:i/>
          <w:iCs/>
        </w:rPr>
        <w:t>implementation support practitioners</w:t>
      </w:r>
      <w:r>
        <w:rPr>
          <w:i/>
          <w:iCs/>
        </w:rPr>
        <w:t xml:space="preserve"> </w:t>
      </w:r>
      <w:r>
        <w:t xml:space="preserve">(ISPs) </w:t>
      </w:r>
      <w:r w:rsidRPr="00AE1496">
        <w:fldChar w:fldCharType="begin"/>
      </w:r>
      <w:r>
        <w:instrText xml:space="preserve"> ADDIN EN.CITE &lt;EndNote&gt;&lt;Cite&gt;&lt;Author&gt;Albers&lt;/Author&gt;&lt;Year&gt;2020&lt;/Year&gt;&lt;RecNum&gt;4339&lt;/RecNum&gt;&lt;DisplayText&gt;[11]&lt;/DisplayText&gt;&lt;record&gt;&lt;rec-number&gt;4339&lt;/rec-number&gt;&lt;foreign-keys&gt;&lt;key app="EN" db-id="92tw0sxaredrdoeva2ovde9md0ept0ezp55z" timestamp="1591023273"&gt;4339&lt;/key&gt;&lt;/foreign-keys&gt;&lt;ref-type name="Journal Article"&gt;17&lt;/ref-type&gt;&lt;contributors&gt;&lt;authors&gt;&lt;author&gt;Albers, B.&lt;/author&gt;&lt;author&gt;Metz, A.&lt;/author&gt;&lt;author&gt;Burke, K.&lt;/author&gt;&lt;/authors&gt;&lt;/contributors&gt;&lt;auth-address&gt;European Implementation Collaborative, Soborg, Denmark. balbers@implementation.eu.&amp;#xD;University of Melbourne, Melbourne, Australia. balbers@implementation.eu.&amp;#xD;University of North Carolina at Chapel Hill, Chapel Hill, USA.&amp;#xD;Centre for Effective Services, Dublin, Ireland.&lt;/auth-address&gt;&lt;titles&gt;&lt;title&gt;Implementation support practitioners - a proposal for consolidating a diverse evidence base&lt;/title&gt;&lt;secondary-title&gt;BMC Health Serv Res&lt;/secondary-title&gt;&lt;/titles&gt;&lt;periodical&gt;&lt;full-title&gt;BMC Health Serv Res&lt;/full-title&gt;&lt;abbr-1&gt;BMC Health Serv Res&lt;/abbr-1&gt;&lt;/periodical&gt;&lt;pages&gt;368&lt;/pages&gt;&lt;volume&gt;20&lt;/volume&gt;&lt;number&gt;1&lt;/number&gt;&lt;edition&gt;2020/05/03&lt;/edition&gt;&lt;keywords&gt;&lt;keyword&gt;Implementation support&lt;/keyword&gt;&lt;keyword&gt;Implementation support practitioner&lt;/keyword&gt;&lt;keyword&gt;Program logic&lt;/keyword&gt;&lt;/keywords&gt;&lt;dates&gt;&lt;year&gt;2020&lt;/year&gt;&lt;pub-dates&gt;&lt;date&gt;May 1&lt;/date&gt;&lt;/pub-dates&gt;&lt;/dates&gt;&lt;isbn&gt;1472-6963 (Electronic)&amp;#xD;1472-6963 (Linking)&lt;/isbn&gt;&lt;accession-num&gt;32357877&lt;/accession-num&gt;&lt;urls&gt;&lt;related-urls&gt;&lt;url&gt;https://www.ncbi.nlm.nih.gov/pubmed/32357877&lt;/url&gt;&lt;/related-urls&gt;&lt;/urls&gt;&lt;custom2&gt;PMC7193379&lt;/custom2&gt;&lt;electronic-resource-num&gt;10.1186/s12913-020-05145-1&lt;/electronic-resource-num&gt;&lt;/record&gt;&lt;/Cite&gt;&lt;/EndNote&gt;</w:instrText>
      </w:r>
      <w:r w:rsidRPr="00AE1496">
        <w:fldChar w:fldCharType="separate"/>
      </w:r>
      <w:r>
        <w:rPr>
          <w:noProof/>
        </w:rPr>
        <w:t>[8]</w:t>
      </w:r>
      <w:r w:rsidRPr="00AE1496">
        <w:fldChar w:fldCharType="end"/>
      </w:r>
      <w:r w:rsidRPr="00AE1496">
        <w:t>.</w:t>
      </w:r>
      <w:r>
        <w:t xml:space="preserve"> ISPs draw from widely recognized disciplines—such as technical assistance, practice facilitation, system coaching, change agency, and knowledge brokerage—that aim to move research into practice and policy. Metz and colleagues </w:t>
      </w:r>
      <w:r>
        <w:fldChar w:fldCharType="begin"/>
      </w:r>
      <w:r>
        <w:instrText xml:space="preserve"> ADDIN EN.CITE &lt;EndNote&gt;&lt;Cite&gt;&lt;Author&gt;Metz&lt;/Author&gt;&lt;Year&gt;2021&lt;/Year&gt;&lt;RecNum&gt;5767&lt;/RecNum&gt;&lt;DisplayText&gt;[12]&lt;/DisplayText&gt;&lt;record&gt;&lt;rec-number&gt;5767&lt;/rec-number&gt;&lt;foreign-keys&gt;&lt;key app="EN" db-id="92tw0sxaredrdoeva2ovde9md0ept0ezp55z" timestamp="1634594278"&gt;5767&lt;/key&gt;&lt;/foreign-keys&gt;&lt;ref-type name="Journal Article"&gt;17&lt;/ref-type&gt;&lt;contributors&gt;&lt;authors&gt;&lt;author&gt;Metz, Allison&lt;/author&gt;&lt;author&gt;Albers, Bianca&lt;/author&gt;&lt;author&gt;Burke, Katie&lt;/author&gt;&lt;author&gt;Bartley, Leah&lt;/author&gt;&lt;author&gt;Louison, Laura&lt;/author&gt;&lt;author&gt;Ward, Caryn&lt;/author&gt;&lt;author&gt;Farley, Amanda&lt;/author&gt;&lt;/authors&gt;&lt;/contributors&gt;&lt;titles&gt;&lt;title&gt;Implementation Practice in Human Service Systems: Understanding the Principles and Competencies of Professionals Who Support Implementation&lt;/title&gt;&lt;secondary-title&gt;Human Service Organizations: Management, Leadership &amp;amp; Governance&lt;/secondary-title&gt;&lt;/titles&gt;&lt;periodical&gt;&lt;full-title&gt;Human Service Organizations: Management, Leadership &amp;amp; Governance&lt;/full-title&gt;&lt;/periodical&gt;&lt;pages&gt;238-259&lt;/pages&gt;&lt;volume&gt;45&lt;/volume&gt;&lt;number&gt;3&lt;/number&gt;&lt;dates&gt;&lt;year&gt;2021&lt;/year&gt;&lt;pub-dates&gt;&lt;date&gt;2021/05/27&lt;/date&gt;&lt;/pub-dates&gt;&lt;/dates&gt;&lt;publisher&gt;Routledge&lt;/publisher&gt;&lt;isbn&gt;2330-3131&lt;/isbn&gt;&lt;urls&gt;&lt;related-urls&gt;&lt;url&gt;https://doi.org/10.1080/23303131.2021.1895401&lt;/url&gt;&lt;/related-urls&gt;&lt;/urls&gt;&lt;electronic-resource-num&gt;10.1080/23303131.2021.1895401&lt;/electronic-resource-num&gt;&lt;/record&gt;&lt;/Cite&gt;&lt;/EndNote&gt;</w:instrText>
      </w:r>
      <w:r>
        <w:fldChar w:fldCharType="separate"/>
      </w:r>
      <w:r>
        <w:rPr>
          <w:noProof/>
        </w:rPr>
        <w:t>[9]</w:t>
      </w:r>
      <w:r>
        <w:fldChar w:fldCharType="end"/>
      </w:r>
      <w:r>
        <w:t xml:space="preserve"> explain that ISPs </w:t>
      </w:r>
    </w:p>
    <w:p w14:paraId="1CB55115" w14:textId="77777777" w:rsidR="00974A8E" w:rsidRPr="001C692F" w:rsidRDefault="00974A8E" w:rsidP="001C692F">
      <w:pPr>
        <w:rPr>
          <w:rStyle w:val="QuoteChar"/>
          <w:rFonts w:ascii="Open Sans SemiBold" w:hAnsi="Open Sans SemiBold" w:cs="Open Sans SemiBold"/>
          <w:b/>
          <w:bCs/>
        </w:rPr>
      </w:pPr>
      <w:r>
        <w:rPr>
          <w:rFonts w:ascii="Libre Baskerville" w:hAnsi="Libre Baskerville" w:cs="Merriweather"/>
        </w:rPr>
        <w:t xml:space="preserve">. . </w:t>
      </w:r>
      <w:r w:rsidRPr="001C692F">
        <w:rPr>
          <w:rStyle w:val="QuoteChar"/>
          <w:rFonts w:ascii="Open Sans SemiBold" w:hAnsi="Open Sans SemiBold" w:cs="Open Sans SemiBold"/>
          <w:b/>
          <w:bCs/>
        </w:rPr>
        <w:t xml:space="preserve">. can reside outside the service systems they work in but may also operate from within a service system when those systems have internal work units specifically designed to support innovation, implementation, improvement, and/or scaling efforts [e.g., implementation teams]. </w:t>
      </w:r>
      <w:r w:rsidRPr="001C692F">
        <w:rPr>
          <w:rStyle w:val="QuoteChar"/>
          <w:rFonts w:ascii="Open Sans SemiBold" w:hAnsi="Open Sans SemiBold" w:cs="Open Sans SemiBold"/>
          <w:b/>
          <w:bCs/>
        </w:rPr>
        <w:lastRenderedPageBreak/>
        <w:t>Implementation support is often delivered through partnerships between professionals residing inside and outside public service systems. (p.239–240)</w:t>
      </w:r>
    </w:p>
    <w:p w14:paraId="72F44966" w14:textId="77777777" w:rsidR="00974A8E" w:rsidRDefault="00974A8E" w:rsidP="00974A8E">
      <w:pPr>
        <w:rPr>
          <w:rFonts w:ascii="Libre Baskerville" w:hAnsi="Libre Baskerville" w:cs="Merriweather"/>
        </w:rPr>
      </w:pPr>
    </w:p>
    <w:p w14:paraId="20B0C5CB" w14:textId="77777777" w:rsidR="00974A8E" w:rsidRDefault="00974A8E" w:rsidP="00974A8E">
      <w:r>
        <w:t xml:space="preserve">The ICTP implementation support practice model, described below, was designed by Aldridge and colleagues </w:t>
      </w:r>
      <w:r>
        <w:fldChar w:fldCharType="begin"/>
      </w:r>
      <w:r>
        <w:instrText xml:space="preserve"> ADDIN EN.CITE &lt;EndNote&gt;&lt;Cite&gt;&lt;Author&gt;Aldridge&lt;/Author&gt;&lt;Year&gt;2022&lt;/Year&gt;&lt;RecNum&gt;3735&lt;/RecNum&gt;&lt;DisplayText&gt;[13]&lt;/DisplayText&gt;&lt;record&gt;&lt;rec-number&gt;3735&lt;/rec-number&gt;&lt;foreign-keys&gt;&lt;key app="EN" db-id="92tw0sxaredrdoeva2ovde9md0ept0ezp55z" timestamp="0"&gt;3735&lt;/key&gt;&lt;/foreign-keys&gt;&lt;ref-type name="Journal Article"&gt;17&lt;/ref-type&gt;&lt;contributors&gt;&lt;authors&gt;&lt;author&gt;Aldridge, W. A., II&lt;/author&gt;&lt;author&gt;Roppolo, R. H.&lt;/author&gt;&lt;author&gt;Brown, J.&lt;/author&gt;&lt;author&gt;Bumbarger, B. K.&lt;/author&gt;&lt;author&gt;Boothroyd, R. I.&lt;/author&gt;&lt;/authors&gt;&lt;/contributors&gt;&lt;titles&gt;&lt;title&gt;Core Practice Components and Outcomes of External Implementation Support: A Conceptual Model and Case Examples to Guide Research and Practice [Manuscript submitted for publication]&lt;/title&gt;&lt;/titles&gt;&lt;dates&gt;&lt;year&gt;2022&lt;/year&gt;&lt;/dates&gt;&lt;urls&gt;&lt;/urls&gt;&lt;/record&gt;&lt;/Cite&gt;&lt;/EndNote&gt;</w:instrText>
      </w:r>
      <w:r>
        <w:fldChar w:fldCharType="separate"/>
      </w:r>
      <w:r>
        <w:rPr>
          <w:noProof/>
        </w:rPr>
        <w:t>[10]</w:t>
      </w:r>
      <w:r>
        <w:fldChar w:fldCharType="end"/>
      </w:r>
      <w:r>
        <w:t xml:space="preserve"> for ISPs who reside </w:t>
      </w:r>
      <w:r w:rsidRPr="00A8304A">
        <w:t>outside</w:t>
      </w:r>
      <w:r>
        <w:t xml:space="preserve"> the service systems in which they work. Thus, this approach is referred to as </w:t>
      </w:r>
      <w:r w:rsidRPr="00123A7E">
        <w:rPr>
          <w:i/>
          <w:iCs/>
        </w:rPr>
        <w:t>e</w:t>
      </w:r>
      <w:r w:rsidRPr="00337907">
        <w:rPr>
          <w:i/>
          <w:iCs/>
        </w:rPr>
        <w:t>xternal implementation support</w:t>
      </w:r>
      <w:r>
        <w:t xml:space="preserve"> (EIS). EIS is aimed at influencing internal practice change and improvement among people, processes, and structures. As a form of implementation practice, EIS has been characterized as “</w:t>
      </w:r>
      <w:r w:rsidRPr="00337907">
        <w:t>both proactive and responsive in nature and usually involves a combination of implementation science and skills training, facilitation, and supportive behavioral coaching for individuals, groups, and organizations</w:t>
      </w:r>
      <w:r>
        <w:t xml:space="preserve">” </w:t>
      </w:r>
      <w:r>
        <w:fldChar w:fldCharType="begin"/>
      </w:r>
      <w:r>
        <w:instrText xml:space="preserve"> ADDIN EN.CITE &lt;EndNote&gt;&lt;Cite&gt;&lt;Author&gt;National Academies of Sciences&lt;/Author&gt;&lt;Year&gt;2019&lt;/Year&gt;&lt;RecNum&gt;5749&lt;/RecNum&gt;&lt;DisplayText&gt;[4]&lt;/DisplayText&gt;&lt;record&gt;&lt;rec-number&gt;5749&lt;/rec-number&gt;&lt;foreign-keys&gt;&lt;key app="EN" db-id="92tw0sxaredrdoeva2ovde9md0ept0ezp55z" timestamp="1601493759"&gt;5749&lt;/key&gt;&lt;/foreign-keys&gt;&lt;ref-type name="Book"&gt;6&lt;/ref-type&gt;&lt;contributors&gt;&lt;authors&gt;&lt;author&gt;National Academies of Sciences, Engineering, and Medicine&lt;/author&gt;&lt;/authors&gt;&lt;/contributors&gt;&lt;titles&gt;&lt;title&gt;Fostering Healthy Mental, Emotional, and Behavioral Development in Children and Youth: A National Agenda&lt;/title&gt;&lt;/titles&gt;&lt;dates&gt;&lt;year&gt;2019&lt;/year&gt;&lt;/dates&gt;&lt;pub-location&gt;Washington, DC&lt;/pub-location&gt;&lt;publisher&gt;The National Academies Press&lt;/publisher&gt;&lt;urls&gt;&lt;/urls&gt;&lt;electronic-resource-num&gt; doi: https://doi.org/10.17226/25201&lt;/electronic-resource-num&gt;&lt;/record&gt;&lt;/Cite&gt;&lt;/EndNote&gt;</w:instrText>
      </w:r>
      <w:r>
        <w:fldChar w:fldCharType="separate"/>
      </w:r>
      <w:r>
        <w:rPr>
          <w:noProof/>
        </w:rPr>
        <w:t>[6</w:t>
      </w:r>
      <w:r>
        <w:fldChar w:fldCharType="end"/>
      </w:r>
      <w:r>
        <w:t>, p. 192]. Through EIS, ISPs foster the partnerships and conditions needed for internal change agents to implement and scale-up effective interventions</w:t>
      </w:r>
      <w:r w:rsidRPr="006479A2">
        <w:t xml:space="preserve"> </w:t>
      </w:r>
      <w:r>
        <w:t>successfully and equitably.</w:t>
      </w:r>
    </w:p>
    <w:sectPr w:rsidR="00974A8E" w:rsidSect="007E6ABB">
      <w:headerReference w:type="default" r:id="rId11"/>
      <w:footerReference w:type="default" r:id="rId12"/>
      <w:pgSz w:w="12240" w:h="15840"/>
      <w:pgMar w:top="1440" w:right="1080" w:bottom="1829" w:left="1080" w:header="720" w:footer="792" w:gutter="0"/>
      <w:pgNumType w:start="3"/>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F9B1" w14:textId="77777777" w:rsidR="00761CAA" w:rsidRDefault="00761CAA" w:rsidP="005F3829">
      <w:r>
        <w:separator/>
      </w:r>
    </w:p>
  </w:endnote>
  <w:endnote w:type="continuationSeparator" w:id="0">
    <w:p w14:paraId="7F56B1AB" w14:textId="77777777" w:rsidR="00761CAA" w:rsidRDefault="00761CA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3B948870" w14:textId="4BD60BE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974A8E">
          <w:rPr>
            <w:rFonts w:eastAsia="Lato" w:cs="Open Sans"/>
            <w:color w:val="002060"/>
            <w:sz w:val="20"/>
            <w:szCs w:val="20"/>
          </w:rPr>
          <w:t>I</w:t>
        </w:r>
        <w:r w:rsidR="00CC4915" w:rsidRPr="00CC4915">
          <w:rPr>
            <w:rFonts w:eastAsia="Lato" w:cs="Open Sans"/>
            <w:color w:val="002060"/>
            <w:sz w:val="20"/>
            <w:szCs w:val="20"/>
          </w:rPr>
          <w:t>CTP</w:t>
        </w:r>
        <w:r w:rsidR="00974A8E">
          <w:rPr>
            <w:rFonts w:eastAsia="Lato" w:cs="Open Sans"/>
            <w:color w:val="002060"/>
            <w:sz w:val="20"/>
            <w:szCs w:val="20"/>
          </w:rPr>
          <w:t xml:space="preserve"> IMPLEMENTATION</w:t>
        </w:r>
        <w:r w:rsidR="00CC4915" w:rsidRPr="00CC4915">
          <w:rPr>
            <w:rFonts w:eastAsia="Lato" w:cs="Open Sans"/>
            <w:color w:val="002060"/>
            <w:sz w:val="20"/>
            <w:szCs w:val="20"/>
          </w:rPr>
          <w:t xml:space="preserve"> S</w:t>
        </w:r>
        <w:r w:rsidR="00974A8E">
          <w:rPr>
            <w:rFonts w:eastAsia="Lato" w:cs="Open Sans"/>
            <w:color w:val="002060"/>
            <w:sz w:val="20"/>
            <w:szCs w:val="20"/>
          </w:rPr>
          <w:t>UPPORT PRACTICE MODEL</w:t>
        </w:r>
      </w:p>
      <w:p w14:paraId="4C42F2C6"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9968" w14:textId="77777777" w:rsidR="00761CAA" w:rsidRDefault="00761CAA" w:rsidP="005F3829">
      <w:r>
        <w:separator/>
      </w:r>
    </w:p>
  </w:footnote>
  <w:footnote w:type="continuationSeparator" w:id="0">
    <w:p w14:paraId="57FEBA14" w14:textId="77777777" w:rsidR="00761CAA" w:rsidRDefault="00761CA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CC16" w14:textId="365F76DE" w:rsidR="00F04547" w:rsidRDefault="00F04547">
    <w:pPr>
      <w:pStyle w:val="Header"/>
    </w:pPr>
    <w:r>
      <w:rPr>
        <w:noProof/>
      </w:rPr>
      <mc:AlternateContent>
        <mc:Choice Requires="wps">
          <w:drawing>
            <wp:anchor distT="0" distB="0" distL="114300" distR="114300" simplePos="0" relativeHeight="251659264" behindDoc="0" locked="0" layoutInCell="1" allowOverlap="1" wp14:anchorId="075FEBEF" wp14:editId="437405D4">
              <wp:simplePos x="0" y="0"/>
              <wp:positionH relativeFrom="column">
                <wp:posOffset>318977</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2B4845" w14:textId="77777777" w:rsidR="00F04547" w:rsidRDefault="00F04547" w:rsidP="00F04547">
                          <w:pPr>
                            <w:ind w:left="0"/>
                            <w:jc w:val="center"/>
                            <w:rPr>
                              <w:sz w:val="13"/>
                              <w:szCs w:val="13"/>
                            </w:rPr>
                          </w:pPr>
                          <w:r w:rsidRPr="0061580A">
                            <w:rPr>
                              <w:sz w:val="13"/>
                              <w:szCs w:val="13"/>
                            </w:rPr>
                            <w:t>BRIEF</w:t>
                          </w:r>
                        </w:p>
                        <w:p w14:paraId="1D804893" w14:textId="71C5800E" w:rsidR="00F04547" w:rsidRDefault="00F04547" w:rsidP="00F04547">
                          <w:pPr>
                            <w:ind w:left="0"/>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75FEBEF" id="Rectangle 1" o:spid="_x0000_s1027" style="position:absolute;left:0;text-align:left;margin-left:25.1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" fillcolor="#384975" stroked="f" strokeweight="1pt">
              <v:textbox>
                <w:txbxContent>
                  <w:p w14:paraId="3E2B4845" w14:textId="77777777" w:rsidR="00F04547" w:rsidRDefault="00F04547" w:rsidP="00F04547">
                    <w:pPr>
                      <w:ind w:left="0"/>
                      <w:jc w:val="center"/>
                      <w:rPr>
                        <w:sz w:val="13"/>
                        <w:szCs w:val="13"/>
                      </w:rPr>
                    </w:pPr>
                    <w:r w:rsidRPr="0061580A">
                      <w:rPr>
                        <w:sz w:val="13"/>
                        <w:szCs w:val="13"/>
                      </w:rPr>
                      <w:t>BRIEF</w:t>
                    </w:r>
                  </w:p>
                  <w:p w14:paraId="1D804893" w14:textId="71C5800E" w:rsidR="00F04547" w:rsidRDefault="00F04547" w:rsidP="00F04547">
                    <w:pPr>
                      <w:ind w:left="0"/>
                      <w:jc w:val="center"/>
                    </w:pPr>
                    <w:r>
                      <w:t>4</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10243"/>
    <w:multiLevelType w:val="hybridMultilevel"/>
    <w:tmpl w:val="D3563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2E7150"/>
    <w:multiLevelType w:val="hybridMultilevel"/>
    <w:tmpl w:val="DA5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36"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57"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2A252E"/>
    <w:multiLevelType w:val="hybridMultilevel"/>
    <w:tmpl w:val="24308D7E"/>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1"/>
  </w:num>
  <w:num w:numId="4" w16cid:durableId="1643997132">
    <w:abstractNumId w:val="0"/>
  </w:num>
  <w:num w:numId="5" w16cid:durableId="1427731844">
    <w:abstractNumId w:val="61"/>
  </w:num>
  <w:num w:numId="6" w16cid:durableId="746877472">
    <w:abstractNumId w:val="60"/>
  </w:num>
  <w:num w:numId="7" w16cid:durableId="1786773656">
    <w:abstractNumId w:val="8"/>
  </w:num>
  <w:num w:numId="8" w16cid:durableId="1897007784">
    <w:abstractNumId w:val="33"/>
  </w:num>
  <w:num w:numId="9" w16cid:durableId="225532596">
    <w:abstractNumId w:val="6"/>
  </w:num>
  <w:num w:numId="10" w16cid:durableId="1015109364">
    <w:abstractNumId w:val="30"/>
  </w:num>
  <w:num w:numId="11" w16cid:durableId="455635238">
    <w:abstractNumId w:val="39"/>
  </w:num>
  <w:num w:numId="12" w16cid:durableId="1306620319">
    <w:abstractNumId w:val="52"/>
  </w:num>
  <w:num w:numId="13" w16cid:durableId="869532227">
    <w:abstractNumId w:val="58"/>
  </w:num>
  <w:num w:numId="14" w16cid:durableId="92555518">
    <w:abstractNumId w:val="53"/>
  </w:num>
  <w:num w:numId="15" w16cid:durableId="367069993">
    <w:abstractNumId w:val="28"/>
  </w:num>
  <w:num w:numId="16" w16cid:durableId="723454207">
    <w:abstractNumId w:val="11"/>
  </w:num>
  <w:num w:numId="17" w16cid:durableId="753743320">
    <w:abstractNumId w:val="51"/>
  </w:num>
  <w:num w:numId="18" w16cid:durableId="654845919">
    <w:abstractNumId w:val="49"/>
  </w:num>
  <w:num w:numId="19" w16cid:durableId="637421270">
    <w:abstractNumId w:val="46"/>
  </w:num>
  <w:num w:numId="20" w16cid:durableId="1093360072">
    <w:abstractNumId w:val="50"/>
  </w:num>
  <w:num w:numId="21" w16cid:durableId="105000690">
    <w:abstractNumId w:val="14"/>
  </w:num>
  <w:num w:numId="22" w16cid:durableId="751973327">
    <w:abstractNumId w:val="7"/>
  </w:num>
  <w:num w:numId="23" w16cid:durableId="1507089947">
    <w:abstractNumId w:val="19"/>
  </w:num>
  <w:num w:numId="24" w16cid:durableId="2144732420">
    <w:abstractNumId w:val="15"/>
  </w:num>
  <w:num w:numId="25" w16cid:durableId="400904157">
    <w:abstractNumId w:val="5"/>
  </w:num>
  <w:num w:numId="26" w16cid:durableId="467403196">
    <w:abstractNumId w:val="36"/>
  </w:num>
  <w:num w:numId="27" w16cid:durableId="915362102">
    <w:abstractNumId w:val="9"/>
  </w:num>
  <w:num w:numId="28" w16cid:durableId="1576084713">
    <w:abstractNumId w:val="45"/>
  </w:num>
  <w:num w:numId="29" w16cid:durableId="1127285350">
    <w:abstractNumId w:val="59"/>
  </w:num>
  <w:num w:numId="30" w16cid:durableId="791752577">
    <w:abstractNumId w:val="31"/>
  </w:num>
  <w:num w:numId="31" w16cid:durableId="1121532902">
    <w:abstractNumId w:val="66"/>
  </w:num>
  <w:num w:numId="32" w16cid:durableId="585773582">
    <w:abstractNumId w:val="40"/>
  </w:num>
  <w:num w:numId="33" w16cid:durableId="526529685">
    <w:abstractNumId w:val="16"/>
  </w:num>
  <w:num w:numId="34" w16cid:durableId="1573924017">
    <w:abstractNumId w:val="26"/>
  </w:num>
  <w:num w:numId="35" w16cid:durableId="1061559268">
    <w:abstractNumId w:val="4"/>
  </w:num>
  <w:num w:numId="36" w16cid:durableId="722220672">
    <w:abstractNumId w:val="23"/>
  </w:num>
  <w:num w:numId="37" w16cid:durableId="2015648837">
    <w:abstractNumId w:val="26"/>
    <w:lvlOverride w:ilvl="0">
      <w:startOverride w:val="1"/>
    </w:lvlOverride>
  </w:num>
  <w:num w:numId="38" w16cid:durableId="189992886">
    <w:abstractNumId w:val="47"/>
  </w:num>
  <w:num w:numId="39" w16cid:durableId="798257106">
    <w:abstractNumId w:val="22"/>
  </w:num>
  <w:num w:numId="40" w16cid:durableId="1458796170">
    <w:abstractNumId w:val="55"/>
  </w:num>
  <w:num w:numId="41" w16cid:durableId="985429762">
    <w:abstractNumId w:val="54"/>
  </w:num>
  <w:num w:numId="42" w16cid:durableId="592477942">
    <w:abstractNumId w:val="2"/>
  </w:num>
  <w:num w:numId="43" w16cid:durableId="664670678">
    <w:abstractNumId w:val="64"/>
  </w:num>
  <w:num w:numId="44" w16cid:durableId="442841348">
    <w:abstractNumId w:val="57"/>
  </w:num>
  <w:num w:numId="45" w16cid:durableId="1821575096">
    <w:abstractNumId w:val="3"/>
  </w:num>
  <w:num w:numId="46" w16cid:durableId="1795828116">
    <w:abstractNumId w:val="65"/>
  </w:num>
  <w:num w:numId="47" w16cid:durableId="900210034">
    <w:abstractNumId w:val="42"/>
  </w:num>
  <w:num w:numId="48" w16cid:durableId="635456117">
    <w:abstractNumId w:val="20"/>
  </w:num>
  <w:num w:numId="49" w16cid:durableId="1204827950">
    <w:abstractNumId w:val="17"/>
  </w:num>
  <w:num w:numId="50" w16cid:durableId="1469664098">
    <w:abstractNumId w:val="10"/>
  </w:num>
  <w:num w:numId="51" w16cid:durableId="1111512196">
    <w:abstractNumId w:val="34"/>
  </w:num>
  <w:num w:numId="52" w16cid:durableId="1970235500">
    <w:abstractNumId w:val="48"/>
  </w:num>
  <w:num w:numId="53" w16cid:durableId="482432313">
    <w:abstractNumId w:val="25"/>
  </w:num>
  <w:num w:numId="54" w16cid:durableId="746536776">
    <w:abstractNumId w:val="13"/>
  </w:num>
  <w:num w:numId="55" w16cid:durableId="1379548821">
    <w:abstractNumId w:val="35"/>
  </w:num>
  <w:num w:numId="56" w16cid:durableId="2066098348">
    <w:abstractNumId w:val="41"/>
  </w:num>
  <w:num w:numId="57" w16cid:durableId="36009232">
    <w:abstractNumId w:val="32"/>
  </w:num>
  <w:num w:numId="58" w16cid:durableId="1470200739">
    <w:abstractNumId w:val="43"/>
  </w:num>
  <w:num w:numId="59" w16cid:durableId="1884554176">
    <w:abstractNumId w:val="56"/>
  </w:num>
  <w:num w:numId="60" w16cid:durableId="549923271">
    <w:abstractNumId w:val="38"/>
  </w:num>
  <w:num w:numId="61" w16cid:durableId="1968124216">
    <w:abstractNumId w:val="29"/>
  </w:num>
  <w:num w:numId="62" w16cid:durableId="2030139300">
    <w:abstractNumId w:val="18"/>
  </w:num>
  <w:num w:numId="63" w16cid:durableId="1473205752">
    <w:abstractNumId w:val="44"/>
  </w:num>
  <w:num w:numId="64" w16cid:durableId="2119593424">
    <w:abstractNumId w:val="12"/>
  </w:num>
  <w:num w:numId="65" w16cid:durableId="337579032">
    <w:abstractNumId w:val="63"/>
  </w:num>
  <w:num w:numId="66" w16cid:durableId="147406902">
    <w:abstractNumId w:val="24"/>
  </w:num>
  <w:num w:numId="67" w16cid:durableId="409929883">
    <w:abstractNumId w:val="37"/>
  </w:num>
  <w:num w:numId="68" w16cid:durableId="689374353">
    <w:abstractNumId w:val="62"/>
  </w:num>
  <w:num w:numId="69" w16cid:durableId="20141438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E"/>
    <w:rsid w:val="0000345F"/>
    <w:rsid w:val="00021BA9"/>
    <w:rsid w:val="00024A9D"/>
    <w:rsid w:val="000311D0"/>
    <w:rsid w:val="00035F7D"/>
    <w:rsid w:val="00041161"/>
    <w:rsid w:val="00065645"/>
    <w:rsid w:val="00071496"/>
    <w:rsid w:val="00077C9B"/>
    <w:rsid w:val="00081BE1"/>
    <w:rsid w:val="00086FED"/>
    <w:rsid w:val="00091485"/>
    <w:rsid w:val="000935D4"/>
    <w:rsid w:val="000A0D7C"/>
    <w:rsid w:val="000A490B"/>
    <w:rsid w:val="000A65A5"/>
    <w:rsid w:val="000A6C7A"/>
    <w:rsid w:val="000B5263"/>
    <w:rsid w:val="000D15CF"/>
    <w:rsid w:val="000D1724"/>
    <w:rsid w:val="000D5487"/>
    <w:rsid w:val="000F791B"/>
    <w:rsid w:val="00103DF4"/>
    <w:rsid w:val="00110010"/>
    <w:rsid w:val="0012710E"/>
    <w:rsid w:val="00137C2C"/>
    <w:rsid w:val="00140E60"/>
    <w:rsid w:val="00156841"/>
    <w:rsid w:val="00160348"/>
    <w:rsid w:val="00186EA4"/>
    <w:rsid w:val="00191650"/>
    <w:rsid w:val="001A122C"/>
    <w:rsid w:val="001B3110"/>
    <w:rsid w:val="001C5AC8"/>
    <w:rsid w:val="001C692F"/>
    <w:rsid w:val="001D173E"/>
    <w:rsid w:val="00214BDF"/>
    <w:rsid w:val="00214E7F"/>
    <w:rsid w:val="00245ACC"/>
    <w:rsid w:val="00265F66"/>
    <w:rsid w:val="00271F5A"/>
    <w:rsid w:val="002938A9"/>
    <w:rsid w:val="00297814"/>
    <w:rsid w:val="002A5798"/>
    <w:rsid w:val="002A7CD7"/>
    <w:rsid w:val="002A7D42"/>
    <w:rsid w:val="002B5CCA"/>
    <w:rsid w:val="002C36C2"/>
    <w:rsid w:val="002E0546"/>
    <w:rsid w:val="002E6E87"/>
    <w:rsid w:val="002F02AE"/>
    <w:rsid w:val="002F3C1D"/>
    <w:rsid w:val="002F75BB"/>
    <w:rsid w:val="0033373A"/>
    <w:rsid w:val="0034610F"/>
    <w:rsid w:val="003562E9"/>
    <w:rsid w:val="00362DA3"/>
    <w:rsid w:val="00390120"/>
    <w:rsid w:val="003958C7"/>
    <w:rsid w:val="003D45D3"/>
    <w:rsid w:val="003D5CEB"/>
    <w:rsid w:val="00400456"/>
    <w:rsid w:val="00416C37"/>
    <w:rsid w:val="00424CE1"/>
    <w:rsid w:val="00437681"/>
    <w:rsid w:val="00443169"/>
    <w:rsid w:val="00450663"/>
    <w:rsid w:val="004515BC"/>
    <w:rsid w:val="0045167A"/>
    <w:rsid w:val="0047287D"/>
    <w:rsid w:val="00473E69"/>
    <w:rsid w:val="00475787"/>
    <w:rsid w:val="004836BB"/>
    <w:rsid w:val="0048504D"/>
    <w:rsid w:val="00495E90"/>
    <w:rsid w:val="004974C5"/>
    <w:rsid w:val="004A20EF"/>
    <w:rsid w:val="004C7BC2"/>
    <w:rsid w:val="004E3CDE"/>
    <w:rsid w:val="004E50F5"/>
    <w:rsid w:val="004F1E39"/>
    <w:rsid w:val="004F3458"/>
    <w:rsid w:val="004F4BE3"/>
    <w:rsid w:val="005041CD"/>
    <w:rsid w:val="00510884"/>
    <w:rsid w:val="00536F5E"/>
    <w:rsid w:val="00550E57"/>
    <w:rsid w:val="00562892"/>
    <w:rsid w:val="005655C2"/>
    <w:rsid w:val="00570D30"/>
    <w:rsid w:val="00577AA7"/>
    <w:rsid w:val="00581CE4"/>
    <w:rsid w:val="0059188E"/>
    <w:rsid w:val="00594461"/>
    <w:rsid w:val="005B308E"/>
    <w:rsid w:val="005B3C1A"/>
    <w:rsid w:val="005C3FB7"/>
    <w:rsid w:val="005C6370"/>
    <w:rsid w:val="005C676B"/>
    <w:rsid w:val="005D102B"/>
    <w:rsid w:val="005F00FA"/>
    <w:rsid w:val="005F24CE"/>
    <w:rsid w:val="005F3829"/>
    <w:rsid w:val="006045B9"/>
    <w:rsid w:val="006057C3"/>
    <w:rsid w:val="00623929"/>
    <w:rsid w:val="0066240F"/>
    <w:rsid w:val="006707EF"/>
    <w:rsid w:val="00672D1F"/>
    <w:rsid w:val="00675E63"/>
    <w:rsid w:val="0069437E"/>
    <w:rsid w:val="00695E8D"/>
    <w:rsid w:val="006A5B3F"/>
    <w:rsid w:val="006A6FAD"/>
    <w:rsid w:val="006B2C82"/>
    <w:rsid w:val="006D39A7"/>
    <w:rsid w:val="006D3D88"/>
    <w:rsid w:val="006E0CC1"/>
    <w:rsid w:val="006F10AD"/>
    <w:rsid w:val="006F2507"/>
    <w:rsid w:val="006F5DDB"/>
    <w:rsid w:val="00713065"/>
    <w:rsid w:val="0071347A"/>
    <w:rsid w:val="00726376"/>
    <w:rsid w:val="00726CAE"/>
    <w:rsid w:val="00727308"/>
    <w:rsid w:val="007309A6"/>
    <w:rsid w:val="00745E42"/>
    <w:rsid w:val="00761CAA"/>
    <w:rsid w:val="0076361D"/>
    <w:rsid w:val="007658C6"/>
    <w:rsid w:val="00772A8A"/>
    <w:rsid w:val="00781718"/>
    <w:rsid w:val="007B02FD"/>
    <w:rsid w:val="007B396D"/>
    <w:rsid w:val="007B7349"/>
    <w:rsid w:val="007E6ABB"/>
    <w:rsid w:val="00851604"/>
    <w:rsid w:val="00856661"/>
    <w:rsid w:val="00896732"/>
    <w:rsid w:val="008A0824"/>
    <w:rsid w:val="008C29B5"/>
    <w:rsid w:val="008E43E7"/>
    <w:rsid w:val="008F12BB"/>
    <w:rsid w:val="008F52B4"/>
    <w:rsid w:val="0090628E"/>
    <w:rsid w:val="009112D9"/>
    <w:rsid w:val="00924435"/>
    <w:rsid w:val="00940359"/>
    <w:rsid w:val="00940BB8"/>
    <w:rsid w:val="00963B1C"/>
    <w:rsid w:val="009679D3"/>
    <w:rsid w:val="00972233"/>
    <w:rsid w:val="0097475F"/>
    <w:rsid w:val="00974A8E"/>
    <w:rsid w:val="00996BC5"/>
    <w:rsid w:val="009A6386"/>
    <w:rsid w:val="009D007D"/>
    <w:rsid w:val="009F582C"/>
    <w:rsid w:val="00A041B2"/>
    <w:rsid w:val="00A25946"/>
    <w:rsid w:val="00A36CF7"/>
    <w:rsid w:val="00A36E8E"/>
    <w:rsid w:val="00A50609"/>
    <w:rsid w:val="00A519D9"/>
    <w:rsid w:val="00A90EE2"/>
    <w:rsid w:val="00A97B53"/>
    <w:rsid w:val="00AA2423"/>
    <w:rsid w:val="00AA25E7"/>
    <w:rsid w:val="00AB3577"/>
    <w:rsid w:val="00AC707E"/>
    <w:rsid w:val="00AD3759"/>
    <w:rsid w:val="00AE5B78"/>
    <w:rsid w:val="00AE5F4D"/>
    <w:rsid w:val="00AE7436"/>
    <w:rsid w:val="00AF1195"/>
    <w:rsid w:val="00AF1A5D"/>
    <w:rsid w:val="00AF4825"/>
    <w:rsid w:val="00B01A12"/>
    <w:rsid w:val="00B14237"/>
    <w:rsid w:val="00B371EF"/>
    <w:rsid w:val="00B62991"/>
    <w:rsid w:val="00B661F5"/>
    <w:rsid w:val="00B85377"/>
    <w:rsid w:val="00BA019A"/>
    <w:rsid w:val="00BA1F88"/>
    <w:rsid w:val="00BA483A"/>
    <w:rsid w:val="00BC3F4A"/>
    <w:rsid w:val="00BC67E3"/>
    <w:rsid w:val="00BD61AC"/>
    <w:rsid w:val="00BF485A"/>
    <w:rsid w:val="00BF4D87"/>
    <w:rsid w:val="00C020A9"/>
    <w:rsid w:val="00C07174"/>
    <w:rsid w:val="00C07AA8"/>
    <w:rsid w:val="00C22C50"/>
    <w:rsid w:val="00C303CA"/>
    <w:rsid w:val="00C343DA"/>
    <w:rsid w:val="00C55543"/>
    <w:rsid w:val="00C66CE8"/>
    <w:rsid w:val="00C75F47"/>
    <w:rsid w:val="00C81947"/>
    <w:rsid w:val="00C90063"/>
    <w:rsid w:val="00CC4915"/>
    <w:rsid w:val="00CD0399"/>
    <w:rsid w:val="00CE1828"/>
    <w:rsid w:val="00D0354C"/>
    <w:rsid w:val="00D104E0"/>
    <w:rsid w:val="00D14A23"/>
    <w:rsid w:val="00D26B84"/>
    <w:rsid w:val="00D2739D"/>
    <w:rsid w:val="00D3777C"/>
    <w:rsid w:val="00D44A15"/>
    <w:rsid w:val="00D54EFD"/>
    <w:rsid w:val="00D679D1"/>
    <w:rsid w:val="00D829D2"/>
    <w:rsid w:val="00D87CDA"/>
    <w:rsid w:val="00DA7299"/>
    <w:rsid w:val="00DB6CCE"/>
    <w:rsid w:val="00DD4BFC"/>
    <w:rsid w:val="00DE0C0E"/>
    <w:rsid w:val="00E34815"/>
    <w:rsid w:val="00E4509A"/>
    <w:rsid w:val="00E806D8"/>
    <w:rsid w:val="00EA0AF9"/>
    <w:rsid w:val="00EB5087"/>
    <w:rsid w:val="00ED7F6F"/>
    <w:rsid w:val="00EF0823"/>
    <w:rsid w:val="00EF5222"/>
    <w:rsid w:val="00F04547"/>
    <w:rsid w:val="00F1585E"/>
    <w:rsid w:val="00F44508"/>
    <w:rsid w:val="00F46C61"/>
    <w:rsid w:val="00F50604"/>
    <w:rsid w:val="00F75B7F"/>
    <w:rsid w:val="00F81167"/>
    <w:rsid w:val="00F82E17"/>
    <w:rsid w:val="00F85157"/>
    <w:rsid w:val="00FB4014"/>
    <w:rsid w:val="00FB54BD"/>
    <w:rsid w:val="00FC7651"/>
    <w:rsid w:val="00FE134F"/>
    <w:rsid w:val="1516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16BA7"/>
  <w15:chartTrackingRefBased/>
  <w15:docId w15:val="{14FD7B7A-507E-EA4A-A5A8-B538C69C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974A8E"/>
    <w:pPr>
      <w:tabs>
        <w:tab w:val="center" w:pos="4680"/>
        <w:tab w:val="right" w:pos="9360"/>
      </w:tabs>
    </w:pPr>
  </w:style>
  <w:style w:type="character" w:customStyle="1" w:styleId="HeaderChar">
    <w:name w:val="Header Char"/>
    <w:basedOn w:val="DefaultParagraphFont"/>
    <w:link w:val="Header"/>
    <w:uiPriority w:val="99"/>
    <w:rsid w:val="00974A8E"/>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974A8E"/>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974A8E"/>
    <w:rPr>
      <w:rFonts w:ascii="Calibri" w:eastAsia="MS Mincho" w:hAnsi="Calibri" w:cs="Calibri"/>
      <w:color w:val="auto"/>
      <w:sz w:val="20"/>
      <w:szCs w:val="20"/>
      <w:lang w:eastAsia="en-US"/>
    </w:rPr>
  </w:style>
  <w:style w:type="paragraph" w:customStyle="1" w:styleId="textAcknowledgement">
    <w:name w:val="textAcknowledgement"/>
    <w:basedOn w:val="Normal"/>
    <w:qFormat/>
    <w:rsid w:val="005F00FA"/>
    <w:rPr>
      <w:rFonts w:cstheme="minorHAnsi"/>
      <w:bCs/>
      <w:sz w:val="20"/>
      <w:szCs w:val="20"/>
    </w:rPr>
  </w:style>
  <w:style w:type="paragraph" w:customStyle="1" w:styleId="textAcknowledgementList">
    <w:name w:val="textAcknowledgementList"/>
    <w:basedOn w:val="ListBullet"/>
    <w:qFormat/>
    <w:rsid w:val="005F00FA"/>
    <w:pPr>
      <w:numPr>
        <w:numId w:val="67"/>
      </w:numPr>
      <w:tabs>
        <w:tab w:val="num" w:pos="360"/>
      </w:tabs>
      <w:ind w:left="2520" w:hanging="270"/>
    </w:pPr>
    <w:rPr>
      <w:sz w:val="20"/>
      <w:szCs w:val="20"/>
    </w:rPr>
  </w:style>
  <w:style w:type="paragraph" w:customStyle="1" w:styleId="TableBullet">
    <w:name w:val="Table Bullet"/>
    <w:basedOn w:val="ListNumber"/>
    <w:qFormat/>
    <w:rsid w:val="002F75BB"/>
    <w:pPr>
      <w:numPr>
        <w:numId w:val="68"/>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2077">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nc-triple-p-implementation-evaluatio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ctp.fpg.unc.edu/wp-content/uploads/nc-triple-p-implementation-evalua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2024-06-10T18:39:00Z</dcterms:created>
  <dcterms:modified xsi:type="dcterms:W3CDTF">2024-06-17T17:41:00Z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