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9FC" w14:textId="08233D11" w:rsidR="00EF5421" w:rsidRPr="009949EB" w:rsidRDefault="00EF5421" w:rsidP="009949EB">
      <w:pPr>
        <w:pStyle w:val="ListBullet"/>
        <w:numPr>
          <w:ilvl w:val="0"/>
          <w:numId w:val="0"/>
        </w:numPr>
      </w:pPr>
      <w:r>
        <w:rPr>
          <w:rFonts w:eastAsia="Libre Baskerville"/>
          <w:noProof/>
        </w:rPr>
        <mc:AlternateContent>
          <mc:Choice Requires="wps">
            <w:drawing>
              <wp:anchor distT="0" distB="0" distL="114300" distR="274320" simplePos="0" relativeHeight="251660800" behindDoc="0" locked="0" layoutInCell="1" allowOverlap="0" wp14:anchorId="5AE692BA" wp14:editId="5A97C97A">
                <wp:simplePos x="0" y="0"/>
                <wp:positionH relativeFrom="column">
                  <wp:posOffset>-330873</wp:posOffset>
                </wp:positionH>
                <wp:positionV relativeFrom="paragraph">
                  <wp:posOffset>205105</wp:posOffset>
                </wp:positionV>
                <wp:extent cx="1411605" cy="3026410"/>
                <wp:effectExtent l="0" t="0" r="10795" b="8890"/>
                <wp:wrapThrough wrapText="right">
                  <wp:wrapPolygon edited="0">
                    <wp:start x="0" y="0"/>
                    <wp:lineTo x="0" y="21573"/>
                    <wp:lineTo x="19239" y="21573"/>
                    <wp:lineTo x="19239" y="11602"/>
                    <wp:lineTo x="21571" y="10877"/>
                    <wp:lineTo x="21571" y="10786"/>
                    <wp:lineTo x="19239" y="10152"/>
                    <wp:lineTo x="19239" y="0"/>
                    <wp:lineTo x="0" y="0"/>
                  </wp:wrapPolygon>
                </wp:wrapThrough>
                <wp:docPr id="764141392" name="Rectangle 3"/>
                <wp:cNvGraphicFramePr/>
                <a:graphic xmlns:a="http://schemas.openxmlformats.org/drawingml/2006/main">
                  <a:graphicData uri="http://schemas.microsoft.com/office/word/2010/wordprocessingShape">
                    <wps:wsp>
                      <wps:cNvSpPr/>
                      <wps:spPr>
                        <a:xfrm>
                          <a:off x="0" y="0"/>
                          <a:ext cx="1411605" cy="3026410"/>
                        </a:xfrm>
                        <a:custGeom>
                          <a:avLst/>
                          <a:gdLst>
                            <a:gd name="connsiteX0" fmla="*/ 0 w 1356360"/>
                            <a:gd name="connsiteY0" fmla="*/ 0 h 3510915"/>
                            <a:gd name="connsiteX1" fmla="*/ 881322 w 1356360"/>
                            <a:gd name="connsiteY1" fmla="*/ 0 h 3510915"/>
                            <a:gd name="connsiteX2" fmla="*/ 881322 w 1356360"/>
                            <a:gd name="connsiteY2" fmla="*/ 1755458 h 3510915"/>
                            <a:gd name="connsiteX3" fmla="*/ 1017270 w 1356360"/>
                            <a:gd name="connsiteY3" fmla="*/ 1755458 h 3510915"/>
                            <a:gd name="connsiteX4" fmla="*/ 1017270 w 1356360"/>
                            <a:gd name="connsiteY4" fmla="*/ 1755458 h 3510915"/>
                            <a:gd name="connsiteX5" fmla="*/ 1356360 w 1356360"/>
                            <a:gd name="connsiteY5" fmla="*/ 1755458 h 3510915"/>
                            <a:gd name="connsiteX6" fmla="*/ 1017270 w 1356360"/>
                            <a:gd name="connsiteY6" fmla="*/ 1755458 h 3510915"/>
                            <a:gd name="connsiteX7" fmla="*/ 1017270 w 1356360"/>
                            <a:gd name="connsiteY7" fmla="*/ 1755458 h 3510915"/>
                            <a:gd name="connsiteX8" fmla="*/ 881322 w 1356360"/>
                            <a:gd name="connsiteY8" fmla="*/ 1755458 h 3510915"/>
                            <a:gd name="connsiteX9" fmla="*/ 881322 w 1356360"/>
                            <a:gd name="connsiteY9" fmla="*/ 3510915 h 3510915"/>
                            <a:gd name="connsiteX10" fmla="*/ 0 w 1356360"/>
                            <a:gd name="connsiteY10" fmla="*/ 3510915 h 3510915"/>
                            <a:gd name="connsiteX11" fmla="*/ 0 w 1356360"/>
                            <a:gd name="connsiteY11" fmla="*/ 0 h 3510915"/>
                            <a:gd name="connsiteX0" fmla="*/ 0 w 1017270"/>
                            <a:gd name="connsiteY0" fmla="*/ 0 h 3510915"/>
                            <a:gd name="connsiteX1" fmla="*/ 881322 w 1017270"/>
                            <a:gd name="connsiteY1" fmla="*/ 0 h 3510915"/>
                            <a:gd name="connsiteX2" fmla="*/ 881322 w 1017270"/>
                            <a:gd name="connsiteY2" fmla="*/ 1755458 h 3510915"/>
                            <a:gd name="connsiteX3" fmla="*/ 1017270 w 1017270"/>
                            <a:gd name="connsiteY3" fmla="*/ 1755458 h 3510915"/>
                            <a:gd name="connsiteX4" fmla="*/ 1017270 w 1017270"/>
                            <a:gd name="connsiteY4" fmla="*/ 1755458 h 3510915"/>
                            <a:gd name="connsiteX5" fmla="*/ 1017270 w 1017270"/>
                            <a:gd name="connsiteY5" fmla="*/ 1755458 h 3510915"/>
                            <a:gd name="connsiteX6" fmla="*/ 1017270 w 1017270"/>
                            <a:gd name="connsiteY6" fmla="*/ 1755458 h 3510915"/>
                            <a:gd name="connsiteX7" fmla="*/ 881322 w 1017270"/>
                            <a:gd name="connsiteY7" fmla="*/ 1755458 h 3510915"/>
                            <a:gd name="connsiteX8" fmla="*/ 881322 w 1017270"/>
                            <a:gd name="connsiteY8" fmla="*/ 3510915 h 3510915"/>
                            <a:gd name="connsiteX9" fmla="*/ 0 w 1017270"/>
                            <a:gd name="connsiteY9" fmla="*/ 3510915 h 3510915"/>
                            <a:gd name="connsiteX10" fmla="*/ 0 w 1017270"/>
                            <a:gd name="connsiteY10" fmla="*/ 0 h 3510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17270" h="3510915">
                              <a:moveTo>
                                <a:pt x="0" y="0"/>
                              </a:moveTo>
                              <a:lnTo>
                                <a:pt x="881322" y="0"/>
                              </a:lnTo>
                              <a:lnTo>
                                <a:pt x="881322" y="1755458"/>
                              </a:lnTo>
                              <a:lnTo>
                                <a:pt x="1017270" y="1755458"/>
                              </a:lnTo>
                              <a:lnTo>
                                <a:pt x="1017270" y="1755458"/>
                              </a:lnTo>
                              <a:lnTo>
                                <a:pt x="1017270" y="1755458"/>
                              </a:lnTo>
                              <a:lnTo>
                                <a:pt x="1017270" y="1755458"/>
                              </a:lnTo>
                              <a:lnTo>
                                <a:pt x="881322" y="1755458"/>
                              </a:lnTo>
                              <a:lnTo>
                                <a:pt x="881322" y="3510915"/>
                              </a:lnTo>
                              <a:lnTo>
                                <a:pt x="0" y="3510915"/>
                              </a:lnTo>
                              <a:lnTo>
                                <a:pt x="0" y="0"/>
                              </a:lnTo>
                              <a:close/>
                            </a:path>
                          </a:pathLst>
                        </a:custGeom>
                        <a:ln w="12700">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04EC02B8" w14:textId="77777777" w:rsidR="00EF5421" w:rsidRDefault="00EF5421" w:rsidP="00EF5421">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ICTP</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TIERED MODEL</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OF SUPPORT IN ACTION</w:t>
                            </w:r>
                          </w:p>
                          <w:p w14:paraId="6D311034" w14:textId="77777777" w:rsidR="00EF5421" w:rsidRDefault="00EF5421" w:rsidP="00EF5421">
                            <w:pPr>
                              <w:pStyle w:val="CallOutBoxText"/>
                            </w:pPr>
                          </w:p>
                          <w:p w14:paraId="0E47800C" w14:textId="77777777" w:rsidR="00EF5421" w:rsidRDefault="00EF5421" w:rsidP="00EF5421">
                            <w:pPr>
                              <w:pStyle w:val="CallOutBoxText"/>
                            </w:pPr>
                            <w:r w:rsidRPr="00D71F1B">
                              <w:rPr>
                                <w:bCs/>
                              </w:rPr>
                              <w:t>Tailored implementation support</w:t>
                            </w:r>
                            <w:r>
                              <w:t>, by this definition, is characteristic of ICTP support activities in</w:t>
                            </w:r>
                            <w:r>
                              <w:rPr>
                                <w:i/>
                                <w:iCs/>
                              </w:rPr>
                              <w:t xml:space="preserve"> both</w:t>
                            </w:r>
                            <w:r>
                              <w:t xml:space="preserve"> the ‘intensive, broad-based’ </w:t>
                            </w:r>
                            <w:r>
                              <w:rPr>
                                <w:i/>
                                <w:iCs/>
                              </w:rPr>
                              <w:t>and</w:t>
                            </w:r>
                            <w:r>
                              <w:t xml:space="preserve"> the ‘brief, narrow-focused’ tiers of support. It is not characteristic of support activities in the ‘universal support’ tier or ‘design and consultation support.’</w:t>
                            </w:r>
                          </w:p>
                          <w:p w14:paraId="6808083A" w14:textId="77777777" w:rsidR="00EF5421" w:rsidRPr="001A122C" w:rsidRDefault="00EF5421" w:rsidP="00EF5421">
                            <w:pPr>
                              <w:pStyle w:val="CallOutBoxText"/>
                            </w:pPr>
                          </w:p>
                          <w:p w14:paraId="173077EF" w14:textId="77777777" w:rsidR="00EF5421" w:rsidRPr="001A122C" w:rsidRDefault="00EF5421" w:rsidP="00EF5421">
                            <w:pPr>
                              <w:pStyle w:val="CallOutBoxText"/>
                            </w:pPr>
                            <w:r w:rsidRPr="001A122C">
                              <w:t>.</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E692BA" id="Rectangle 3" o:spid="_x0000_s1026" style="position:absolute;margin-left:-26.05pt;margin-top:16.15pt;width:111.15pt;height:238.3pt;z-index:251660800;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017270,3510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" o:allowoverlap="f" adj="-11796480,,5400" path="m,l881322,r,1755458l1017270,1755458r,l1017270,1755458r,l881322,1755458r,1755457l,3510915,,xe" fillcolor="white [3201]" strokecolor="#e09b3b [3204]" strokeweight="1pt">
                <v:stroke joinstyle="miter"/>
                <v:formulas/>
                <v:path arrowok="t" o:connecttype="custom" o:connectlocs="0,0;1222958,0;1222958,1513205;1411605,1513205;1411605,1513205;1411605,1513205;1411605,1513205;1222958,1513205;1222958,3026410;0,3026410;0,0" o:connectangles="0,0,0,0,0,0,0,0,0,0,0" textboxrect="0,0,1017270,3510915"/>
                <v:textbox inset=",7.2pt,21.6pt,0">
                  <w:txbxContent>
                    <w:p w14:paraId="04EC02B8" w14:textId="77777777" w:rsidR="00EF5421" w:rsidRDefault="00EF5421" w:rsidP="00EF5421">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ICTP</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TIERED MODEL</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OF SUPPORT IN ACTION</w:t>
                      </w:r>
                    </w:p>
                    <w:p w14:paraId="6D311034" w14:textId="77777777" w:rsidR="00EF5421" w:rsidRDefault="00EF5421" w:rsidP="00EF5421">
                      <w:pPr>
                        <w:pStyle w:val="CallOutBoxText"/>
                      </w:pPr>
                    </w:p>
                    <w:p w14:paraId="0E47800C" w14:textId="77777777" w:rsidR="00EF5421" w:rsidRDefault="00EF5421" w:rsidP="00EF5421">
                      <w:pPr>
                        <w:pStyle w:val="CallOutBoxText"/>
                      </w:pPr>
                      <w:r w:rsidRPr="00D71F1B">
                        <w:rPr>
                          <w:bCs/>
                        </w:rPr>
                        <w:t>Tailored implementation support</w:t>
                      </w:r>
                      <w:r>
                        <w:t>, by this definition, is characteristic of ICTP support activities in</w:t>
                      </w:r>
                      <w:r>
                        <w:rPr>
                          <w:i/>
                          <w:iCs/>
                        </w:rPr>
                        <w:t xml:space="preserve"> both</w:t>
                      </w:r>
                      <w:r>
                        <w:t xml:space="preserve"> the ‘intensive, broad-based’ </w:t>
                      </w:r>
                      <w:r>
                        <w:rPr>
                          <w:i/>
                          <w:iCs/>
                        </w:rPr>
                        <w:t>and</w:t>
                      </w:r>
                      <w:r>
                        <w:t xml:space="preserve"> the ‘brief, narrow-focused’ tiers of support. It is not characteristic of support activities in the ‘universal support’ tier or ‘design and consultation support.’</w:t>
                      </w:r>
                    </w:p>
                    <w:p w14:paraId="6808083A" w14:textId="77777777" w:rsidR="00EF5421" w:rsidRPr="001A122C" w:rsidRDefault="00EF5421" w:rsidP="00EF5421">
                      <w:pPr>
                        <w:pStyle w:val="CallOutBoxText"/>
                      </w:pPr>
                    </w:p>
                    <w:p w14:paraId="173077EF" w14:textId="77777777" w:rsidR="00EF5421" w:rsidRPr="001A122C" w:rsidRDefault="00EF5421" w:rsidP="00EF5421">
                      <w:pPr>
                        <w:pStyle w:val="CallOutBoxText"/>
                      </w:pPr>
                      <w:r w:rsidRPr="001A122C">
                        <w:t>.</w:t>
                      </w:r>
                    </w:p>
                  </w:txbxContent>
                </v:textbox>
                <w10:wrap type="through" side="right"/>
              </v:shape>
            </w:pict>
          </mc:Fallback>
        </mc:AlternateContent>
      </w:r>
    </w:p>
    <w:p w14:paraId="54C84C94" w14:textId="194A250E" w:rsidR="00EF5421" w:rsidRPr="00163034" w:rsidRDefault="00EF5421" w:rsidP="00EF5421">
      <w:pPr>
        <w:pStyle w:val="Heading2"/>
        <w:spacing w:before="240"/>
      </w:pPr>
      <w:r w:rsidRPr="00163034">
        <w:t>ICTP Support Team Co-practice</w:t>
      </w:r>
    </w:p>
    <w:p w14:paraId="232E9B84" w14:textId="77777777" w:rsidR="00EF5421" w:rsidRDefault="00EF5421" w:rsidP="00EF5421">
      <w:r w:rsidRPr="00163034">
        <w:t xml:space="preserve">ICTP ISPs provide most forms of implementation support, especially those </w:t>
      </w:r>
      <w:r w:rsidRPr="00D71F1B">
        <w:rPr>
          <w:shd w:val="clear" w:color="auto" w:fill="EEF6FA"/>
        </w:rPr>
        <w:t>tailored to regional Triple P partners,</w:t>
      </w:r>
      <w:r w:rsidRPr="00163034">
        <w:t xml:space="preserve"> with a paired co-ISP. Whether a new ISP or a skilled support practitioner, all ISPs benefit from having a stable co-practitioner to share lead roles in practice activities, provide a different perspective on the support process and participants’ progress, and ensure continuity when one ISP transitions off the support team. Such teaming also allows for collaborative reflection, planning, and facilitation of support activities. </w:t>
      </w:r>
      <w:r w:rsidRPr="00D71F1B">
        <w:rPr>
          <w:b/>
          <w:bCs/>
        </w:rPr>
        <w:t>Table 5.2</w:t>
      </w:r>
      <w:r w:rsidRPr="00163034">
        <w:t xml:space="preserve"> shows the co-practice structures for all levels of ICTP implementation support practice.</w:t>
      </w:r>
    </w:p>
    <w:p w14:paraId="4E10D0F2" w14:textId="77777777" w:rsidR="00EF5421" w:rsidRDefault="00EF5421" w:rsidP="00EF5421">
      <w:pPr>
        <w:pStyle w:val="Caption"/>
      </w:pPr>
      <w:r w:rsidRPr="00BC31A6">
        <w:rPr>
          <w:b/>
          <w:bCs/>
        </w:rPr>
        <w:t xml:space="preserve">Table </w:t>
      </w:r>
      <w:r>
        <w:rPr>
          <w:b/>
          <w:bCs/>
        </w:rPr>
        <w:t>5.</w:t>
      </w:r>
      <w:r w:rsidRPr="00BC31A6">
        <w:rPr>
          <w:b/>
          <w:bCs/>
        </w:rPr>
        <w:t>2</w:t>
      </w:r>
      <w:r w:rsidRPr="00BC31A6">
        <w:t xml:space="preserve"> ICTP Implementation Support Co-practice Structures</w:t>
      </w:r>
      <w:r>
        <w:t xml:space="preserve"> </w:t>
      </w:r>
    </w:p>
    <w:p w14:paraId="762CC461" w14:textId="77777777" w:rsidR="00EF5421" w:rsidRPr="00CC7333" w:rsidRDefault="00EF5421" w:rsidP="00EF5421">
      <w:r>
        <w:rPr>
          <w:b/>
          <w:bCs/>
          <w:iCs/>
          <w:sz w:val="18"/>
          <w:szCs w:val="18"/>
        </w:rPr>
        <w:t>ICTP Co-practice Structures</w:t>
      </w:r>
    </w:p>
    <w:p w14:paraId="2E76AFBB" w14:textId="77777777" w:rsidR="00EF5421" w:rsidRDefault="00EF5421" w:rsidP="00EF5421">
      <w:pPr>
        <w:rPr>
          <w:rFonts w:eastAsia="Libre Baskerville"/>
        </w:rPr>
      </w:pPr>
    </w:p>
    <w:tbl>
      <w:tblPr>
        <w:tblStyle w:val="GridTable5Dark-Accent2"/>
        <w:tblW w:w="0" w:type="auto"/>
        <w:tblInd w:w="161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3406"/>
        <w:gridCol w:w="3407"/>
      </w:tblGrid>
      <w:tr w:rsidR="00EF5421" w:rsidRPr="00E11CBC" w14:paraId="2B36FC04" w14:textId="77777777" w:rsidTr="001477A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57" w:type="dxa"/>
            <w:tcBorders>
              <w:bottom w:val="single" w:sz="24" w:space="0" w:color="0003AA"/>
            </w:tcBorders>
            <w:shd w:val="clear" w:color="auto" w:fill="auto"/>
          </w:tcPr>
          <w:p w14:paraId="1A406164" w14:textId="77777777" w:rsidR="00EF5421" w:rsidRPr="00785483" w:rsidRDefault="00EF5421" w:rsidP="001477A3">
            <w:pPr>
              <w:pStyle w:val="TableHeaders"/>
              <w:rPr>
                <w:color w:val="FFFFFF" w:themeColor="background1"/>
                <w:sz w:val="20"/>
                <w:szCs w:val="20"/>
              </w:rPr>
            </w:pPr>
          </w:p>
          <w:p w14:paraId="32E5059B" w14:textId="77777777" w:rsidR="00EF5421" w:rsidRPr="00785483" w:rsidRDefault="00EF5421" w:rsidP="001477A3">
            <w:pPr>
              <w:pStyle w:val="TableHeaders"/>
              <w:rPr>
                <w:color w:val="FFFFFF" w:themeColor="background1"/>
                <w:sz w:val="20"/>
                <w:szCs w:val="20"/>
              </w:rPr>
            </w:pPr>
          </w:p>
          <w:p w14:paraId="1714E1B4" w14:textId="77777777" w:rsidR="00EF5421" w:rsidRPr="00785483" w:rsidRDefault="00EF5421" w:rsidP="001477A3">
            <w:pPr>
              <w:pStyle w:val="TableHeaders"/>
              <w:rPr>
                <w:b/>
                <w:bCs w:val="0"/>
                <w:color w:val="FFFFFF" w:themeColor="background1"/>
                <w:sz w:val="20"/>
                <w:szCs w:val="20"/>
              </w:rPr>
            </w:pPr>
          </w:p>
        </w:tc>
        <w:tc>
          <w:tcPr>
            <w:tcW w:w="3406" w:type="dxa"/>
            <w:tcBorders>
              <w:bottom w:val="single" w:sz="24" w:space="0" w:color="0003AA"/>
              <w:right w:val="single" w:sz="4" w:space="0" w:color="auto"/>
            </w:tcBorders>
            <w:shd w:val="clear" w:color="auto" w:fill="B1CBDA" w:themeFill="accent2" w:themeFillTint="66"/>
          </w:tcPr>
          <w:p w14:paraId="17237A6E" w14:textId="77777777" w:rsidR="00EF5421" w:rsidRPr="00E11CBC" w:rsidRDefault="00EF5421" w:rsidP="001477A3">
            <w:pPr>
              <w:pStyle w:val="TableBody"/>
              <w:cnfStyle w:val="100000000000" w:firstRow="1" w:lastRow="0" w:firstColumn="0" w:lastColumn="0" w:oddVBand="0" w:evenVBand="0" w:oddHBand="0" w:evenHBand="0" w:firstRowFirstColumn="0" w:firstRowLastColumn="0" w:lastRowFirstColumn="0" w:lastRowLastColumn="0"/>
            </w:pPr>
            <w:r w:rsidRPr="00CC7333">
              <w:t>Type of Support</w:t>
            </w:r>
          </w:p>
        </w:tc>
        <w:tc>
          <w:tcPr>
            <w:tcW w:w="3407" w:type="dxa"/>
            <w:tcBorders>
              <w:left w:val="single" w:sz="4" w:space="0" w:color="auto"/>
              <w:bottom w:val="single" w:sz="24" w:space="0" w:color="0003AA"/>
            </w:tcBorders>
            <w:shd w:val="clear" w:color="auto" w:fill="B1CBDA" w:themeFill="accent2" w:themeFillTint="66"/>
          </w:tcPr>
          <w:p w14:paraId="471C7EBD" w14:textId="77777777" w:rsidR="00EF5421" w:rsidRPr="00785483" w:rsidRDefault="00EF5421" w:rsidP="001477A3">
            <w:pPr>
              <w:pStyle w:val="TableBody"/>
              <w:cnfStyle w:val="100000000000" w:firstRow="1" w:lastRow="0" w:firstColumn="0" w:lastColumn="0" w:oddVBand="0" w:evenVBand="0" w:oddHBand="0" w:evenHBand="0" w:firstRowFirstColumn="0" w:firstRowLastColumn="0" w:lastRowFirstColumn="0" w:lastRowLastColumn="0"/>
              <w:rPr>
                <w:color w:val="000000" w:themeColor="text1"/>
              </w:rPr>
            </w:pPr>
            <w:r w:rsidRPr="00CC7333">
              <w:t>Number and Type of Support Practitioners</w:t>
            </w:r>
          </w:p>
        </w:tc>
      </w:tr>
      <w:tr w:rsidR="00EF5421" w:rsidRPr="00E11CBC" w14:paraId="5D8CA122" w14:textId="77777777" w:rsidTr="001477A3">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57" w:type="dxa"/>
            <w:tcBorders>
              <w:top w:val="single" w:sz="24" w:space="0" w:color="0003AA"/>
            </w:tcBorders>
            <w:shd w:val="clear" w:color="auto" w:fill="1A1863"/>
          </w:tcPr>
          <w:p w14:paraId="776EF9BF" w14:textId="77777777" w:rsidR="00EF5421" w:rsidRPr="00CC7333" w:rsidRDefault="00EF5421" w:rsidP="001477A3">
            <w:pPr>
              <w:pStyle w:val="TableBody"/>
            </w:pPr>
            <w:r>
              <w:t>Regional Support Offerings</w:t>
            </w:r>
          </w:p>
        </w:tc>
        <w:tc>
          <w:tcPr>
            <w:tcW w:w="3406" w:type="dxa"/>
            <w:tcBorders>
              <w:top w:val="single" w:sz="24" w:space="0" w:color="0003AA"/>
              <w:bottom w:val="single" w:sz="4" w:space="0" w:color="auto"/>
              <w:right w:val="nil"/>
            </w:tcBorders>
            <w:shd w:val="clear" w:color="auto" w:fill="EEF4FA"/>
          </w:tcPr>
          <w:p w14:paraId="776FFB7C" w14:textId="77777777" w:rsidR="00EF5421" w:rsidRPr="00785483" w:rsidRDefault="00EF5421" w:rsidP="001477A3">
            <w:pPr>
              <w:pStyle w:val="TableBody"/>
              <w:cnfStyle w:val="000000100000" w:firstRow="0" w:lastRow="0" w:firstColumn="0" w:lastColumn="0" w:oddVBand="0" w:evenVBand="0" w:oddHBand="1" w:evenHBand="0" w:firstRowFirstColumn="0" w:firstRowLastColumn="0" w:lastRowFirstColumn="0" w:lastRowLastColumn="0"/>
            </w:pPr>
            <w:r w:rsidRPr="00CC7333">
              <w:t>Intensive, broad focused</w:t>
            </w:r>
          </w:p>
        </w:tc>
        <w:tc>
          <w:tcPr>
            <w:tcW w:w="3407" w:type="dxa"/>
            <w:tcBorders>
              <w:top w:val="single" w:sz="24" w:space="0" w:color="0003AA"/>
              <w:left w:val="nil"/>
              <w:bottom w:val="single" w:sz="4" w:space="0" w:color="auto"/>
            </w:tcBorders>
            <w:shd w:val="clear" w:color="auto" w:fill="EEF4FA"/>
          </w:tcPr>
          <w:p w14:paraId="1E0FC1DB" w14:textId="77777777" w:rsidR="00EF5421" w:rsidRPr="006C4B83" w:rsidRDefault="00EF5421" w:rsidP="001477A3">
            <w:pPr>
              <w:pStyle w:val="TableBody"/>
              <w:cnfStyle w:val="000000100000" w:firstRow="0" w:lastRow="0" w:firstColumn="0" w:lastColumn="0" w:oddVBand="0" w:evenVBand="0" w:oddHBand="1" w:evenHBand="0" w:firstRowFirstColumn="0" w:firstRowLastColumn="0" w:lastRowFirstColumn="0" w:lastRowLastColumn="0"/>
            </w:pPr>
            <w:r w:rsidRPr="00CC7333">
              <w:t>2 regional support specialists</w:t>
            </w:r>
          </w:p>
        </w:tc>
      </w:tr>
      <w:tr w:rsidR="00EF5421" w:rsidRPr="00E11CBC" w14:paraId="636EFE7D" w14:textId="77777777" w:rsidTr="001477A3">
        <w:tc>
          <w:tcPr>
            <w:cnfStyle w:val="001000000000" w:firstRow="0" w:lastRow="0" w:firstColumn="1" w:lastColumn="0" w:oddVBand="0" w:evenVBand="0" w:oddHBand="0" w:evenHBand="0" w:firstRowFirstColumn="0" w:firstRowLastColumn="0" w:lastRowFirstColumn="0" w:lastRowLastColumn="0"/>
            <w:tcW w:w="1557" w:type="dxa"/>
            <w:shd w:val="clear" w:color="auto" w:fill="1A1863"/>
          </w:tcPr>
          <w:p w14:paraId="770E867E" w14:textId="77777777" w:rsidR="00EF5421" w:rsidRPr="00CC7333" w:rsidRDefault="00EF5421" w:rsidP="001477A3">
            <w:pPr>
              <w:pStyle w:val="TableBody"/>
              <w:rPr>
                <w:color w:val="FFFFFF" w:themeColor="background1"/>
              </w:rPr>
            </w:pPr>
          </w:p>
        </w:tc>
        <w:tc>
          <w:tcPr>
            <w:tcW w:w="3406" w:type="dxa"/>
            <w:tcBorders>
              <w:top w:val="single" w:sz="4" w:space="0" w:color="auto"/>
              <w:bottom w:val="single" w:sz="4" w:space="0" w:color="auto"/>
              <w:right w:val="nil"/>
            </w:tcBorders>
          </w:tcPr>
          <w:p w14:paraId="034A7442" w14:textId="77777777" w:rsidR="00EF5421" w:rsidRPr="00CC7333" w:rsidRDefault="00EF5421" w:rsidP="001477A3">
            <w:pPr>
              <w:pStyle w:val="TableBody"/>
              <w:cnfStyle w:val="000000000000" w:firstRow="0" w:lastRow="0" w:firstColumn="0" w:lastColumn="0" w:oddVBand="0" w:evenVBand="0" w:oddHBand="0" w:evenHBand="0" w:firstRowFirstColumn="0" w:firstRowLastColumn="0" w:lastRowFirstColumn="0" w:lastRowLastColumn="0"/>
            </w:pPr>
            <w:r w:rsidRPr="00CC7333">
              <w:t>Brief, narrow focused</w:t>
            </w:r>
          </w:p>
        </w:tc>
        <w:tc>
          <w:tcPr>
            <w:tcW w:w="3407" w:type="dxa"/>
            <w:tcBorders>
              <w:top w:val="single" w:sz="4" w:space="0" w:color="auto"/>
              <w:left w:val="nil"/>
              <w:bottom w:val="single" w:sz="4" w:space="0" w:color="auto"/>
            </w:tcBorders>
          </w:tcPr>
          <w:p w14:paraId="5A5AAB6B" w14:textId="77777777" w:rsidR="00EF5421" w:rsidRPr="00CC7333" w:rsidRDefault="00EF5421" w:rsidP="001477A3">
            <w:pPr>
              <w:pStyle w:val="TableBody"/>
              <w:cnfStyle w:val="000000000000" w:firstRow="0" w:lastRow="0" w:firstColumn="0" w:lastColumn="0" w:oddVBand="0" w:evenVBand="0" w:oddHBand="0" w:evenHBand="0" w:firstRowFirstColumn="0" w:firstRowLastColumn="0" w:lastRowFirstColumn="0" w:lastRowLastColumn="0"/>
            </w:pPr>
            <w:r w:rsidRPr="00CC7333">
              <w:t>2 regional support specialists</w:t>
            </w:r>
          </w:p>
        </w:tc>
      </w:tr>
      <w:tr w:rsidR="00EF5421" w:rsidRPr="00E11CBC" w14:paraId="70E4EFAA" w14:textId="77777777" w:rsidTr="0014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Borders>
              <w:bottom w:val="single" w:sz="24" w:space="0" w:color="0003AA"/>
            </w:tcBorders>
            <w:shd w:val="clear" w:color="auto" w:fill="1A1863"/>
          </w:tcPr>
          <w:p w14:paraId="3425F15B" w14:textId="77777777" w:rsidR="00EF5421" w:rsidRPr="00CC7333" w:rsidRDefault="00EF5421" w:rsidP="001477A3">
            <w:pPr>
              <w:pStyle w:val="TableBody"/>
              <w:rPr>
                <w:color w:val="FFFFFF" w:themeColor="background1"/>
              </w:rPr>
            </w:pPr>
          </w:p>
        </w:tc>
        <w:tc>
          <w:tcPr>
            <w:tcW w:w="3406" w:type="dxa"/>
            <w:tcBorders>
              <w:top w:val="single" w:sz="4" w:space="0" w:color="auto"/>
              <w:bottom w:val="single" w:sz="24" w:space="0" w:color="0003AA"/>
              <w:right w:val="nil"/>
            </w:tcBorders>
            <w:shd w:val="clear" w:color="auto" w:fill="EEF4FA"/>
          </w:tcPr>
          <w:p w14:paraId="2EA8F1C6" w14:textId="77777777" w:rsidR="00EF5421" w:rsidRPr="00CC7333" w:rsidRDefault="00EF5421" w:rsidP="001477A3">
            <w:pPr>
              <w:pStyle w:val="TableBody"/>
              <w:cnfStyle w:val="000000100000" w:firstRow="0" w:lastRow="0" w:firstColumn="0" w:lastColumn="0" w:oddVBand="0" w:evenVBand="0" w:oddHBand="1" w:evenHBand="0" w:firstRowFirstColumn="0" w:firstRowLastColumn="0" w:lastRowFirstColumn="0" w:lastRowLastColumn="0"/>
            </w:pPr>
            <w:r w:rsidRPr="00CC7333">
              <w:t>Universal</w:t>
            </w:r>
          </w:p>
        </w:tc>
        <w:tc>
          <w:tcPr>
            <w:tcW w:w="3407" w:type="dxa"/>
            <w:tcBorders>
              <w:top w:val="single" w:sz="4" w:space="0" w:color="auto"/>
              <w:left w:val="nil"/>
              <w:bottom w:val="single" w:sz="24" w:space="0" w:color="0003AA"/>
            </w:tcBorders>
            <w:shd w:val="clear" w:color="auto" w:fill="EEF4FA"/>
          </w:tcPr>
          <w:p w14:paraId="224FF7DF" w14:textId="77777777" w:rsidR="00EF5421" w:rsidRPr="00CC7333" w:rsidRDefault="00EF5421" w:rsidP="001477A3">
            <w:pPr>
              <w:pStyle w:val="TableBody"/>
              <w:cnfStyle w:val="000000100000" w:firstRow="0" w:lastRow="0" w:firstColumn="0" w:lastColumn="0" w:oddVBand="0" w:evenVBand="0" w:oddHBand="1" w:evenHBand="0" w:firstRowFirstColumn="0" w:firstRowLastColumn="0" w:lastRowFirstColumn="0" w:lastRowLastColumn="0"/>
            </w:pPr>
            <w:r w:rsidRPr="00CC7333">
              <w:t>2 regional support specialists</w:t>
            </w:r>
          </w:p>
        </w:tc>
      </w:tr>
      <w:tr w:rsidR="00EF5421" w:rsidRPr="00E11CBC" w14:paraId="0B5101C2" w14:textId="77777777" w:rsidTr="001477A3">
        <w:trPr>
          <w:trHeight w:val="656"/>
        </w:trPr>
        <w:tc>
          <w:tcPr>
            <w:cnfStyle w:val="001000000000" w:firstRow="0" w:lastRow="0" w:firstColumn="1" w:lastColumn="0" w:oddVBand="0" w:evenVBand="0" w:oddHBand="0" w:evenHBand="0" w:firstRowFirstColumn="0" w:firstRowLastColumn="0" w:lastRowFirstColumn="0" w:lastRowLastColumn="0"/>
            <w:tcW w:w="1557" w:type="dxa"/>
            <w:tcBorders>
              <w:top w:val="single" w:sz="24" w:space="0" w:color="0003AA"/>
              <w:bottom w:val="nil"/>
            </w:tcBorders>
            <w:shd w:val="clear" w:color="auto" w:fill="FFFFFF" w:themeFill="background1"/>
          </w:tcPr>
          <w:p w14:paraId="19CB3BCE" w14:textId="77777777" w:rsidR="00EF5421" w:rsidRPr="006C4B83" w:rsidRDefault="00EF5421" w:rsidP="001477A3">
            <w:pPr>
              <w:pStyle w:val="TableBody"/>
              <w:rPr>
                <w:color w:val="00037E"/>
              </w:rPr>
            </w:pPr>
            <w:r w:rsidRPr="006C4B83">
              <w:rPr>
                <w:color w:val="00037E"/>
              </w:rPr>
              <w:t>Statewide Support Offerings</w:t>
            </w:r>
          </w:p>
        </w:tc>
        <w:tc>
          <w:tcPr>
            <w:tcW w:w="3406" w:type="dxa"/>
            <w:tcBorders>
              <w:top w:val="single" w:sz="24" w:space="0" w:color="0003AA"/>
              <w:bottom w:val="single" w:sz="4" w:space="0" w:color="auto"/>
              <w:right w:val="nil"/>
            </w:tcBorders>
            <w:shd w:val="clear" w:color="auto" w:fill="FFFFFF" w:themeFill="background1"/>
          </w:tcPr>
          <w:p w14:paraId="24C208CE" w14:textId="77777777" w:rsidR="00EF5421" w:rsidRPr="006C4B83" w:rsidRDefault="00EF5421" w:rsidP="001477A3">
            <w:pPr>
              <w:pStyle w:val="TableBody"/>
              <w:cnfStyle w:val="000000000000" w:firstRow="0" w:lastRow="0" w:firstColumn="0" w:lastColumn="0" w:oddVBand="0" w:evenVBand="0" w:oddHBand="0" w:evenHBand="0" w:firstRowFirstColumn="0" w:firstRowLastColumn="0" w:lastRowFirstColumn="0" w:lastRowLastColumn="0"/>
            </w:pPr>
            <w:r w:rsidRPr="006C4B83">
              <w:t>Partnership for Strategy and Governance</w:t>
            </w:r>
          </w:p>
        </w:tc>
        <w:tc>
          <w:tcPr>
            <w:tcW w:w="3407" w:type="dxa"/>
            <w:tcBorders>
              <w:top w:val="single" w:sz="24" w:space="0" w:color="0003AA"/>
              <w:left w:val="nil"/>
              <w:bottom w:val="single" w:sz="4" w:space="0" w:color="auto"/>
            </w:tcBorders>
            <w:shd w:val="clear" w:color="auto" w:fill="FFFFFF" w:themeFill="background1"/>
          </w:tcPr>
          <w:p w14:paraId="42D89ECD" w14:textId="77777777" w:rsidR="00EF5421" w:rsidRPr="006C4B83" w:rsidRDefault="00EF5421" w:rsidP="001477A3">
            <w:pPr>
              <w:pStyle w:val="TableBody"/>
              <w:cnfStyle w:val="000000000000" w:firstRow="0" w:lastRow="0" w:firstColumn="0" w:lastColumn="0" w:oddVBand="0" w:evenVBand="0" w:oddHBand="0" w:evenHBand="0" w:firstRowFirstColumn="0" w:firstRowLastColumn="0" w:lastRowFirstColumn="0" w:lastRowLastColumn="0"/>
            </w:pPr>
            <w:r w:rsidRPr="006C4B83">
              <w:t>1 principal investigator (PI) and 1 co-PI or co-investigator</w:t>
            </w:r>
          </w:p>
        </w:tc>
      </w:tr>
      <w:tr w:rsidR="00EF5421" w:rsidRPr="00E11CBC" w14:paraId="66813880" w14:textId="77777777" w:rsidTr="0014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Borders>
              <w:top w:val="nil"/>
              <w:bottom w:val="nil"/>
            </w:tcBorders>
            <w:shd w:val="clear" w:color="auto" w:fill="FFFFFF" w:themeFill="background1"/>
          </w:tcPr>
          <w:p w14:paraId="3DBD1671" w14:textId="77777777" w:rsidR="00EF5421" w:rsidRPr="006C4B83" w:rsidRDefault="00EF5421" w:rsidP="001477A3">
            <w:pPr>
              <w:pStyle w:val="TableBody"/>
              <w:rPr>
                <w:color w:val="00037E"/>
              </w:rPr>
            </w:pPr>
          </w:p>
        </w:tc>
        <w:tc>
          <w:tcPr>
            <w:tcW w:w="3406" w:type="dxa"/>
            <w:tcBorders>
              <w:top w:val="single" w:sz="4" w:space="0" w:color="auto"/>
              <w:bottom w:val="single" w:sz="4" w:space="0" w:color="auto"/>
              <w:right w:val="nil"/>
            </w:tcBorders>
            <w:shd w:val="clear" w:color="auto" w:fill="EEF4FA"/>
          </w:tcPr>
          <w:p w14:paraId="1A12B1EA" w14:textId="77777777" w:rsidR="00EF5421" w:rsidRPr="006C4B83" w:rsidRDefault="00EF5421" w:rsidP="001477A3">
            <w:pPr>
              <w:pStyle w:val="TableBody"/>
              <w:cnfStyle w:val="000000100000" w:firstRow="0" w:lastRow="0" w:firstColumn="0" w:lastColumn="0" w:oddVBand="0" w:evenVBand="0" w:oddHBand="1" w:evenHBand="0" w:firstRowFirstColumn="0" w:firstRowLastColumn="0" w:lastRowFirstColumn="0" w:lastRowLastColumn="0"/>
            </w:pPr>
            <w:r w:rsidRPr="006C4B83">
              <w:t>North Carolina Learning Collaborative</w:t>
            </w:r>
          </w:p>
        </w:tc>
        <w:tc>
          <w:tcPr>
            <w:tcW w:w="3407" w:type="dxa"/>
            <w:tcBorders>
              <w:top w:val="single" w:sz="4" w:space="0" w:color="auto"/>
              <w:left w:val="nil"/>
              <w:bottom w:val="single" w:sz="4" w:space="0" w:color="auto"/>
            </w:tcBorders>
            <w:shd w:val="clear" w:color="auto" w:fill="EEF4FA"/>
          </w:tcPr>
          <w:p w14:paraId="5A400EB6" w14:textId="77777777" w:rsidR="00EF5421" w:rsidRPr="006C4B83" w:rsidRDefault="00EF5421" w:rsidP="001477A3">
            <w:pPr>
              <w:pStyle w:val="TableBody"/>
              <w:cnfStyle w:val="000000100000" w:firstRow="0" w:lastRow="0" w:firstColumn="0" w:lastColumn="0" w:oddVBand="0" w:evenVBand="0" w:oddHBand="1" w:evenHBand="0" w:firstRowFirstColumn="0" w:firstRowLastColumn="0" w:lastRowFirstColumn="0" w:lastRowLastColumn="0"/>
            </w:pPr>
            <w:r w:rsidRPr="006C4B83">
              <w:t>1 assigned regional support specialist, 1 ISP focused on media and networking strategies, 1 DSS Triple P Coordinator, and rotating participation of other ISPs as needed</w:t>
            </w:r>
          </w:p>
        </w:tc>
      </w:tr>
      <w:tr w:rsidR="00EF5421" w:rsidRPr="00E11CBC" w14:paraId="5F038943" w14:textId="77777777" w:rsidTr="001477A3">
        <w:tc>
          <w:tcPr>
            <w:cnfStyle w:val="001000000000" w:firstRow="0" w:lastRow="0" w:firstColumn="1" w:lastColumn="0" w:oddVBand="0" w:evenVBand="0" w:oddHBand="0" w:evenHBand="0" w:firstRowFirstColumn="0" w:firstRowLastColumn="0" w:lastRowFirstColumn="0" w:lastRowLastColumn="0"/>
            <w:tcW w:w="1557" w:type="dxa"/>
            <w:tcBorders>
              <w:top w:val="nil"/>
              <w:bottom w:val="single" w:sz="24" w:space="0" w:color="0003AA"/>
            </w:tcBorders>
            <w:shd w:val="clear" w:color="auto" w:fill="FFFFFF" w:themeFill="background1"/>
          </w:tcPr>
          <w:p w14:paraId="06618548" w14:textId="77777777" w:rsidR="00EF5421" w:rsidRPr="006C4B83" w:rsidRDefault="00EF5421" w:rsidP="001477A3">
            <w:pPr>
              <w:pStyle w:val="TableBody"/>
              <w:rPr>
                <w:color w:val="00037E"/>
              </w:rPr>
            </w:pPr>
          </w:p>
        </w:tc>
        <w:tc>
          <w:tcPr>
            <w:tcW w:w="3406" w:type="dxa"/>
            <w:tcBorders>
              <w:top w:val="single" w:sz="4" w:space="0" w:color="auto"/>
              <w:bottom w:val="single" w:sz="24" w:space="0" w:color="0003AA"/>
              <w:right w:val="nil"/>
            </w:tcBorders>
            <w:shd w:val="clear" w:color="auto" w:fill="FFFFFF" w:themeFill="background1"/>
          </w:tcPr>
          <w:p w14:paraId="6642DB85" w14:textId="77777777" w:rsidR="00EF5421" w:rsidRPr="006C4B83" w:rsidRDefault="00EF5421" w:rsidP="001477A3">
            <w:pPr>
              <w:pStyle w:val="TableBody"/>
              <w:cnfStyle w:val="000000000000" w:firstRow="0" w:lastRow="0" w:firstColumn="0" w:lastColumn="0" w:oddVBand="0" w:evenVBand="0" w:oddHBand="0" w:evenHBand="0" w:firstRowFirstColumn="0" w:firstRowLastColumn="0" w:lastRowFirstColumn="0" w:lastRowLastColumn="0"/>
            </w:pPr>
            <w:r w:rsidRPr="006C4B83">
              <w:t>Support System Coordination Team</w:t>
            </w:r>
          </w:p>
        </w:tc>
        <w:tc>
          <w:tcPr>
            <w:tcW w:w="3407" w:type="dxa"/>
            <w:tcBorders>
              <w:top w:val="single" w:sz="4" w:space="0" w:color="auto"/>
              <w:left w:val="nil"/>
              <w:bottom w:val="single" w:sz="24" w:space="0" w:color="0003AA"/>
            </w:tcBorders>
            <w:shd w:val="clear" w:color="auto" w:fill="FFFFFF" w:themeFill="background1"/>
          </w:tcPr>
          <w:p w14:paraId="2DEC5848" w14:textId="77777777" w:rsidR="00EF5421" w:rsidRPr="006C4B83" w:rsidRDefault="00EF5421" w:rsidP="001477A3">
            <w:pPr>
              <w:pStyle w:val="TableBody"/>
              <w:cnfStyle w:val="000000000000" w:firstRow="0" w:lastRow="0" w:firstColumn="0" w:lastColumn="0" w:oddVBand="0" w:evenVBand="0" w:oddHBand="0" w:evenHBand="0" w:firstRowFirstColumn="0" w:firstRowLastColumn="0" w:lastRowFirstColumn="0" w:lastRowLastColumn="0"/>
            </w:pPr>
            <w:r w:rsidRPr="006C4B83">
              <w:t>1 PI and 1 co-PI or co-investigator</w:t>
            </w:r>
          </w:p>
        </w:tc>
      </w:tr>
    </w:tbl>
    <w:p w14:paraId="25B5B7A4" w14:textId="77777777" w:rsidR="00EF5421" w:rsidRDefault="00EF5421" w:rsidP="00EF5421">
      <w:pPr>
        <w:rPr>
          <w:rFonts w:eastAsia="Libre Baskerville"/>
        </w:rPr>
      </w:pPr>
    </w:p>
    <w:p w14:paraId="4752E26C" w14:textId="77777777" w:rsidR="00EF5421" w:rsidRDefault="00EF5421" w:rsidP="00EF5421">
      <w:pPr>
        <w:rPr>
          <w:rFonts w:eastAsia="Libre Baskerville"/>
        </w:rPr>
      </w:pPr>
    </w:p>
    <w:p w14:paraId="51C52CE3" w14:textId="77777777" w:rsidR="00EF5421" w:rsidRPr="00163034" w:rsidRDefault="00EF5421" w:rsidP="00EF5421">
      <w:r w:rsidRPr="00163034">
        <w:t xml:space="preserve">When one ISP is in a lead facilitation role, the other can take detailed notes or observe support processes, including participants’ reactions to individual comments and activities or overall support directions. Because they can take </w:t>
      </w:r>
      <w:r w:rsidRPr="00163034">
        <w:lastRenderedPageBreak/>
        <w:t>more of a birds-eye view, ISPs in secondary roles may also be able to provide unique insights or key reflections during support activities. Within the ICTP projects team, the diversity of ISPs’ educational and professional backgrounds affords support teams the ability to draw from diverse ISP strengths, experiences, and expertise. This enables ISP pairing to be done in such a way that each member complements the other and that benefits the support recipients.</w:t>
      </w:r>
    </w:p>
    <w:p w14:paraId="1457F0A3" w14:textId="77777777" w:rsidR="00EF5421" w:rsidRPr="00163034" w:rsidRDefault="00EF5421" w:rsidP="00EF5421">
      <w:pPr>
        <w:autoSpaceDE w:val="0"/>
        <w:autoSpaceDN w:val="0"/>
        <w:adjustRightInd w:val="0"/>
        <w:rPr>
          <w:rFonts w:ascii="Libre Baskerville" w:hAnsi="Libre Baskerville"/>
        </w:rPr>
      </w:pPr>
      <w:r w:rsidRPr="00163034">
        <w:rPr>
          <w:rFonts w:ascii="Libre Baskerville" w:hAnsi="Libre Baskerville"/>
        </w:rPr>
        <w:t xml:space="preserve"> </w:t>
      </w:r>
    </w:p>
    <w:p w14:paraId="0CB74D79" w14:textId="77777777" w:rsidR="00EF5421" w:rsidRPr="00163034" w:rsidRDefault="00EF5421" w:rsidP="00EF5421">
      <w:r w:rsidRPr="00163034">
        <w:t>Beyond paired ISPs providing support within stable team structures, all ICTP implementation support teams can arrange for ICTP projects team members to assist in their support activities for discrete needs and issues, depending on the team members’ expertise and experience. For example, ICTP ISPs with expertise and experience developing quality and outcome monitoring systems may be asked to provide design and consultation support to regional or state support activities or to lead tailored capacity-building support, depending on the need and request. Among the broader areas of project team member expertise and experience available to all ICTP implementation support teams are</w:t>
      </w:r>
    </w:p>
    <w:p w14:paraId="6F23CD88" w14:textId="77777777" w:rsidR="00EF5421" w:rsidRPr="00E11CBC" w:rsidRDefault="00EF5421" w:rsidP="00EF5421">
      <w:pPr>
        <w:pStyle w:val="ListBullet"/>
      </w:pPr>
      <w:r w:rsidRPr="00E11CBC">
        <w:t>developing quality and outcome monitoring systems, evaluation plans, and improvement activities in Triple P implementation and scale-</w:t>
      </w:r>
      <w:proofErr w:type="gramStart"/>
      <w:r w:rsidRPr="00E11CBC">
        <w:t>up;</w:t>
      </w:r>
      <w:proofErr w:type="gramEnd"/>
    </w:p>
    <w:p w14:paraId="4B90CB8C" w14:textId="77777777" w:rsidR="00EF5421" w:rsidRPr="00E11CBC" w:rsidRDefault="00EF5421" w:rsidP="00EF5421">
      <w:pPr>
        <w:pStyle w:val="ListBullet"/>
      </w:pPr>
      <w:r w:rsidRPr="00E11CBC">
        <w:t>developing media and networking systems in Triple P implementation and scale-</w:t>
      </w:r>
      <w:proofErr w:type="gramStart"/>
      <w:r w:rsidRPr="00E11CBC">
        <w:t>up;</w:t>
      </w:r>
      <w:proofErr w:type="gramEnd"/>
    </w:p>
    <w:p w14:paraId="0CDD9E7E" w14:textId="77777777" w:rsidR="00EF5421" w:rsidRPr="00E11CBC" w:rsidRDefault="00EF5421" w:rsidP="00EF5421">
      <w:pPr>
        <w:pStyle w:val="ListBullet"/>
      </w:pPr>
      <w:r w:rsidRPr="00E11CBC">
        <w:t>supporting Triple P implementation within child welfare systems, including county departments of social services; and</w:t>
      </w:r>
    </w:p>
    <w:p w14:paraId="2D15F914" w14:textId="77777777" w:rsidR="00EF5421" w:rsidRPr="00E11CBC" w:rsidRDefault="00EF5421" w:rsidP="00EF5421">
      <w:pPr>
        <w:pStyle w:val="ListBullet"/>
      </w:pPr>
      <w:r w:rsidRPr="00E11CBC">
        <w:t>attending to health equity in Triple P implementation and scale-up.</w:t>
      </w:r>
    </w:p>
    <w:p w14:paraId="3F013BAC" w14:textId="77777777" w:rsidR="00EF5421" w:rsidRDefault="00EF5421" w:rsidP="00EF5421"/>
    <w:p w14:paraId="2D5B134C" w14:textId="77777777" w:rsidR="00EF5421" w:rsidRPr="00163034" w:rsidRDefault="00EF5421" w:rsidP="00EF5421">
      <w:r w:rsidRPr="00163034">
        <w:t xml:space="preserve">Senior ICTP ISPs may also be brought into regional or state implementation support activities for issues that require higher levels of experience, skill, or expertise. </w:t>
      </w:r>
    </w:p>
    <w:p w14:paraId="1A000DF9" w14:textId="77777777" w:rsidR="00EF5421" w:rsidRPr="00163034" w:rsidRDefault="00EF5421" w:rsidP="00EF5421"/>
    <w:p w14:paraId="0F24C840" w14:textId="77777777" w:rsidR="00EF5421" w:rsidRPr="00163034" w:rsidRDefault="00EF5421" w:rsidP="00EF5421">
      <w:r w:rsidRPr="00163034">
        <w:t>In all cases, ICTP co-practice necessitates an extra layer of communication and coordination among ICTP ISPs. Foremost, co-ISPs must ensure time to co-plan and debrief all implementation support activities. Roles for discrete support activities must be clearly defined so they can be carried out with strong alignment. Co-ISPs must balance their time spent with support participants to prevent support participants’ overidentification with one ISP. Indirect support activities (e.g., behind-the-scenes research and resource procurement, ICTP technical assistance tracking, arranging travel and catering resources) must also be shared to prevent overburdening one ISP. When subject matter experts or senior ISPs are involved in regional or state implementation support activities, these same layers of communication and coordination apply.</w:t>
      </w:r>
    </w:p>
    <w:p w14:paraId="1122FAF9" w14:textId="77777777" w:rsidR="00EF5421" w:rsidRPr="00163034" w:rsidRDefault="00EF5421" w:rsidP="00EF5421"/>
    <w:p w14:paraId="0602CD05" w14:textId="77777777" w:rsidR="00EF5421" w:rsidRPr="00163034" w:rsidRDefault="00EF5421" w:rsidP="00EF5421">
      <w:r w:rsidRPr="00163034">
        <w:t xml:space="preserve">Although it may seem more efficient or expedient for individual ICTP ISPs to provide implementation support, the benefits of co-practice are believed to greatly outweigh the extra layers of needed communication and coordination. Especially in complex, multilevel, </w:t>
      </w:r>
      <w:proofErr w:type="spellStart"/>
      <w:r w:rsidRPr="00163034">
        <w:t>multipartner</w:t>
      </w:r>
      <w:proofErr w:type="spellEnd"/>
      <w:r w:rsidRPr="00163034">
        <w:t xml:space="preserve"> system environments, implementation support greatly benefits from more than one set of eyes, ears, and hands and from broader sets of experience and expertise. </w:t>
      </w:r>
    </w:p>
    <w:p w14:paraId="347FF2E3" w14:textId="77777777" w:rsidR="00EF5421" w:rsidRPr="00163034" w:rsidRDefault="00EF5421" w:rsidP="00EF5421"/>
    <w:p w14:paraId="2B95BF8A" w14:textId="77777777" w:rsidR="00EF5421" w:rsidRPr="00163034" w:rsidRDefault="00EF5421" w:rsidP="00EF5421">
      <w:r w:rsidRPr="00163034">
        <w:t xml:space="preserve">When working in stable implementation support teams, ICTP ISPs may be tempted at times to provide solo implementation support without explicit prior communication and coordination with, and agreement from, their co-ISP and, typically, support participants. However, ISPs should be very cautious, if not hesitant, before doing so. This especially includes engaging in practice activities designed to build collaborative relationships or increase working alliance with support participants. </w:t>
      </w:r>
    </w:p>
    <w:p w14:paraId="2AE1D924" w14:textId="77777777" w:rsidR="00EF5421" w:rsidRPr="00163034" w:rsidRDefault="00EF5421" w:rsidP="00EF5421"/>
    <w:p w14:paraId="355402E9" w14:textId="77777777" w:rsidR="00EF5421" w:rsidRPr="00461EAB" w:rsidRDefault="00EF5421" w:rsidP="00EF5421">
      <w:r w:rsidRPr="00163034">
        <w:t>Exceptions to team-based implementation support may occasionally arise due to the extended unavailability of individual ISPs in situations such as medical or family leave or turnover within ICTP project teams. Alternatively, urgent support needs can arise when only one ISP is available to respond on the timeline needed. In these cases, temporary arrangements, best discussed in anticipation of these situations, may be made to ensure continuity of support. ISPs should always work to close communication and coordination gaps as soon as possible following these unique situations. In any case, ICTP ISPs working in stable team-based support structures are best experienced as just that: teams.</w:t>
      </w:r>
      <w:bookmarkStart w:id="0" w:name="_Toc111053484"/>
      <w:bookmarkStart w:id="1" w:name="_Hlk148438042"/>
      <w:bookmarkEnd w:id="0"/>
      <w:bookmarkEnd w:id="1"/>
    </w:p>
    <w:sectPr w:rsidR="00EF5421" w:rsidRPr="00461EAB" w:rsidSect="00361B80">
      <w:headerReference w:type="default" r:id="rId8"/>
      <w:footerReference w:type="default" r:id="rId9"/>
      <w:pgSz w:w="12240" w:h="15840"/>
      <w:pgMar w:top="1440" w:right="1080" w:bottom="1829" w:left="1080" w:header="720" w:footer="792" w:gutter="0"/>
      <w:pgNumType w:start="26"/>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FBD3" w14:textId="77777777" w:rsidR="00517B9F" w:rsidRDefault="00517B9F" w:rsidP="005F3829">
      <w:r>
        <w:separator/>
      </w:r>
    </w:p>
  </w:endnote>
  <w:endnote w:type="continuationSeparator" w:id="0">
    <w:p w14:paraId="7072B67F" w14:textId="77777777" w:rsidR="00517B9F" w:rsidRDefault="00517B9F"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587BD6DA" w14:textId="5D69B63B"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D531E0">
          <w:rPr>
            <w:rFonts w:eastAsia="Lato" w:cs="Open Sans"/>
            <w:color w:val="002060"/>
            <w:sz w:val="20"/>
            <w:szCs w:val="20"/>
          </w:rPr>
          <w:t>FOUNDATIONS OF THE ICTP IMPLEMENTATION SUPPORT PRACTICE MODEL</w:t>
        </w:r>
      </w:p>
      <w:p w14:paraId="21EE4CED"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C177" w14:textId="77777777" w:rsidR="00517B9F" w:rsidRDefault="00517B9F" w:rsidP="005F3829">
      <w:r>
        <w:separator/>
      </w:r>
    </w:p>
  </w:footnote>
  <w:footnote w:type="continuationSeparator" w:id="0">
    <w:p w14:paraId="19E6538A" w14:textId="77777777" w:rsidR="00517B9F" w:rsidRDefault="00517B9F"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8D0D" w14:textId="1D93212F" w:rsidR="005364AB" w:rsidRDefault="005364AB">
    <w:pPr>
      <w:pStyle w:val="Header"/>
    </w:pPr>
    <w:r>
      <w:rPr>
        <w:noProof/>
      </w:rPr>
      <mc:AlternateContent>
        <mc:Choice Requires="wps">
          <w:drawing>
            <wp:anchor distT="0" distB="0" distL="114300" distR="114300" simplePos="0" relativeHeight="251659264" behindDoc="0" locked="0" layoutInCell="1" allowOverlap="1" wp14:anchorId="306CDA59" wp14:editId="3D8D6591">
              <wp:simplePos x="0" y="0"/>
              <wp:positionH relativeFrom="column">
                <wp:posOffset>212651</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6CDA59" id="Rectangle 1" o:spid="_x0000_s1027" style="position:absolute;left:0;text-align:left;margin-left:16.75pt;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" fillcolor="#384975" stroked="f" strokeweight="1pt">
              <v:textbo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02D"/>
    <w:multiLevelType w:val="hybridMultilevel"/>
    <w:tmpl w:val="A9304118"/>
    <w:lvl w:ilvl="0" w:tplc="9E3ABEB0">
      <w:start w:val="1"/>
      <w:numFmt w:val="bullet"/>
      <w:pStyle w:val="SUBSUBbullet"/>
      <w:lvlText w:val="o"/>
      <w:lvlJc w:val="left"/>
      <w:pPr>
        <w:ind w:left="648"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91502"/>
    <w:multiLevelType w:val="hybridMultilevel"/>
    <w:tmpl w:val="67FA677E"/>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2192D"/>
    <w:multiLevelType w:val="hybridMultilevel"/>
    <w:tmpl w:val="2E2EEC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8110EC"/>
    <w:multiLevelType w:val="hybridMultilevel"/>
    <w:tmpl w:val="4EFC803A"/>
    <w:lvl w:ilvl="0" w:tplc="BC3E463C">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AAE38CF"/>
    <w:multiLevelType w:val="hybridMultilevel"/>
    <w:tmpl w:val="5DBA105E"/>
    <w:lvl w:ilvl="0" w:tplc="5E7C2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77472">
    <w:abstractNumId w:val="7"/>
  </w:num>
  <w:num w:numId="2" w16cid:durableId="1573924017">
    <w:abstractNumId w:val="2"/>
  </w:num>
  <w:num w:numId="3" w16cid:durableId="442841348">
    <w:abstractNumId w:val="6"/>
  </w:num>
  <w:num w:numId="4" w16cid:durableId="1473205752">
    <w:abstractNumId w:val="5"/>
  </w:num>
  <w:num w:numId="5" w16cid:durableId="2119593424">
    <w:abstractNumId w:val="1"/>
  </w:num>
  <w:num w:numId="6" w16cid:durableId="1078133678">
    <w:abstractNumId w:val="0"/>
  </w:num>
  <w:num w:numId="7" w16cid:durableId="933705233">
    <w:abstractNumId w:val="9"/>
  </w:num>
  <w:num w:numId="8" w16cid:durableId="409929883">
    <w:abstractNumId w:val="4"/>
  </w:num>
  <w:num w:numId="9" w16cid:durableId="689374353">
    <w:abstractNumId w:val="8"/>
  </w:num>
  <w:num w:numId="10" w16cid:durableId="85461009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E0"/>
    <w:rsid w:val="00002AC6"/>
    <w:rsid w:val="0000345F"/>
    <w:rsid w:val="00021BA9"/>
    <w:rsid w:val="00022A41"/>
    <w:rsid w:val="00023E7C"/>
    <w:rsid w:val="00024A9D"/>
    <w:rsid w:val="000273DA"/>
    <w:rsid w:val="00035F7D"/>
    <w:rsid w:val="00041161"/>
    <w:rsid w:val="00065645"/>
    <w:rsid w:val="00067BBA"/>
    <w:rsid w:val="00071496"/>
    <w:rsid w:val="00077C9B"/>
    <w:rsid w:val="00081BE1"/>
    <w:rsid w:val="00086125"/>
    <w:rsid w:val="00086FED"/>
    <w:rsid w:val="000913D4"/>
    <w:rsid w:val="00091485"/>
    <w:rsid w:val="000935D4"/>
    <w:rsid w:val="000A0D7C"/>
    <w:rsid w:val="000A65A5"/>
    <w:rsid w:val="000A7F5E"/>
    <w:rsid w:val="000B5263"/>
    <w:rsid w:val="000C16D8"/>
    <w:rsid w:val="000D1724"/>
    <w:rsid w:val="000D30F7"/>
    <w:rsid w:val="000D6668"/>
    <w:rsid w:val="000D784D"/>
    <w:rsid w:val="000E4127"/>
    <w:rsid w:val="000F144E"/>
    <w:rsid w:val="000F791B"/>
    <w:rsid w:val="00103DF4"/>
    <w:rsid w:val="00110010"/>
    <w:rsid w:val="00127054"/>
    <w:rsid w:val="00133D2C"/>
    <w:rsid w:val="00135AE7"/>
    <w:rsid w:val="00137C2C"/>
    <w:rsid w:val="00140E60"/>
    <w:rsid w:val="00156841"/>
    <w:rsid w:val="00167AA4"/>
    <w:rsid w:val="00171B0C"/>
    <w:rsid w:val="00174EEA"/>
    <w:rsid w:val="00191650"/>
    <w:rsid w:val="00191A70"/>
    <w:rsid w:val="00197CF6"/>
    <w:rsid w:val="00197E8F"/>
    <w:rsid w:val="001A122C"/>
    <w:rsid w:val="001A1919"/>
    <w:rsid w:val="001B0807"/>
    <w:rsid w:val="001B3110"/>
    <w:rsid w:val="001C5AC8"/>
    <w:rsid w:val="001D506E"/>
    <w:rsid w:val="0020026B"/>
    <w:rsid w:val="002053EF"/>
    <w:rsid w:val="002058C2"/>
    <w:rsid w:val="002123EB"/>
    <w:rsid w:val="00214BDF"/>
    <w:rsid w:val="0024147E"/>
    <w:rsid w:val="00245ACC"/>
    <w:rsid w:val="00265F66"/>
    <w:rsid w:val="00287AA1"/>
    <w:rsid w:val="002938A9"/>
    <w:rsid w:val="00297814"/>
    <w:rsid w:val="00297B0D"/>
    <w:rsid w:val="002A5798"/>
    <w:rsid w:val="002A7CD7"/>
    <w:rsid w:val="002A7D42"/>
    <w:rsid w:val="002C635A"/>
    <w:rsid w:val="002D2814"/>
    <w:rsid w:val="002E0546"/>
    <w:rsid w:val="002E6E87"/>
    <w:rsid w:val="002F02AE"/>
    <w:rsid w:val="002F3C1D"/>
    <w:rsid w:val="003035FE"/>
    <w:rsid w:val="00320CE7"/>
    <w:rsid w:val="0033373A"/>
    <w:rsid w:val="0034610F"/>
    <w:rsid w:val="003562E9"/>
    <w:rsid w:val="00361B80"/>
    <w:rsid w:val="00362DA3"/>
    <w:rsid w:val="00386164"/>
    <w:rsid w:val="00390120"/>
    <w:rsid w:val="003C70FA"/>
    <w:rsid w:val="003D45D3"/>
    <w:rsid w:val="003D5CEB"/>
    <w:rsid w:val="003E3E15"/>
    <w:rsid w:val="003E4B97"/>
    <w:rsid w:val="00400456"/>
    <w:rsid w:val="00405095"/>
    <w:rsid w:val="00437681"/>
    <w:rsid w:val="00443169"/>
    <w:rsid w:val="004515BC"/>
    <w:rsid w:val="0045167A"/>
    <w:rsid w:val="00454163"/>
    <w:rsid w:val="00454A33"/>
    <w:rsid w:val="00463E5F"/>
    <w:rsid w:val="0047287D"/>
    <w:rsid w:val="00473E69"/>
    <w:rsid w:val="00475787"/>
    <w:rsid w:val="004836BB"/>
    <w:rsid w:val="0048504D"/>
    <w:rsid w:val="00492D95"/>
    <w:rsid w:val="00495E90"/>
    <w:rsid w:val="004974C5"/>
    <w:rsid w:val="004A20EF"/>
    <w:rsid w:val="004C7BC2"/>
    <w:rsid w:val="004E3CDE"/>
    <w:rsid w:val="004E50F5"/>
    <w:rsid w:val="004F1E39"/>
    <w:rsid w:val="004F3458"/>
    <w:rsid w:val="004F4BE3"/>
    <w:rsid w:val="005041CD"/>
    <w:rsid w:val="00510884"/>
    <w:rsid w:val="00517B9F"/>
    <w:rsid w:val="005364AB"/>
    <w:rsid w:val="00536F5E"/>
    <w:rsid w:val="00550E57"/>
    <w:rsid w:val="00562892"/>
    <w:rsid w:val="005655C2"/>
    <w:rsid w:val="00570D30"/>
    <w:rsid w:val="00594461"/>
    <w:rsid w:val="005B308E"/>
    <w:rsid w:val="005B3C1A"/>
    <w:rsid w:val="005C6370"/>
    <w:rsid w:val="005C676B"/>
    <w:rsid w:val="005F3829"/>
    <w:rsid w:val="006057C3"/>
    <w:rsid w:val="00617D07"/>
    <w:rsid w:val="00623929"/>
    <w:rsid w:val="006408FC"/>
    <w:rsid w:val="00640B19"/>
    <w:rsid w:val="006426BD"/>
    <w:rsid w:val="0064641A"/>
    <w:rsid w:val="0066240F"/>
    <w:rsid w:val="006707EF"/>
    <w:rsid w:val="00675E63"/>
    <w:rsid w:val="00695E8D"/>
    <w:rsid w:val="006A5B3F"/>
    <w:rsid w:val="006A6FAD"/>
    <w:rsid w:val="006B10D1"/>
    <w:rsid w:val="006B2C82"/>
    <w:rsid w:val="006C4B83"/>
    <w:rsid w:val="006D39A7"/>
    <w:rsid w:val="006D3D88"/>
    <w:rsid w:val="006D7CD0"/>
    <w:rsid w:val="006E14E7"/>
    <w:rsid w:val="006F229F"/>
    <w:rsid w:val="006F2507"/>
    <w:rsid w:val="006F2923"/>
    <w:rsid w:val="006F421B"/>
    <w:rsid w:val="006F5DDB"/>
    <w:rsid w:val="00703A14"/>
    <w:rsid w:val="00713065"/>
    <w:rsid w:val="0071347A"/>
    <w:rsid w:val="00726376"/>
    <w:rsid w:val="0073399A"/>
    <w:rsid w:val="00736B39"/>
    <w:rsid w:val="00745E42"/>
    <w:rsid w:val="00746D80"/>
    <w:rsid w:val="007559FB"/>
    <w:rsid w:val="0076361D"/>
    <w:rsid w:val="00772A8A"/>
    <w:rsid w:val="00781718"/>
    <w:rsid w:val="00785483"/>
    <w:rsid w:val="007B02FD"/>
    <w:rsid w:val="007B6371"/>
    <w:rsid w:val="00851604"/>
    <w:rsid w:val="0085363B"/>
    <w:rsid w:val="00856661"/>
    <w:rsid w:val="00880FA4"/>
    <w:rsid w:val="00885ABD"/>
    <w:rsid w:val="008A0824"/>
    <w:rsid w:val="008C29B5"/>
    <w:rsid w:val="008C45D3"/>
    <w:rsid w:val="008E43E7"/>
    <w:rsid w:val="008F12BB"/>
    <w:rsid w:val="008F52B4"/>
    <w:rsid w:val="0090628E"/>
    <w:rsid w:val="009112D9"/>
    <w:rsid w:val="00924435"/>
    <w:rsid w:val="00926633"/>
    <w:rsid w:val="0092720C"/>
    <w:rsid w:val="00940359"/>
    <w:rsid w:val="00940BB8"/>
    <w:rsid w:val="00963B1C"/>
    <w:rsid w:val="009679D3"/>
    <w:rsid w:val="00972233"/>
    <w:rsid w:val="0097475F"/>
    <w:rsid w:val="00984C0F"/>
    <w:rsid w:val="00986C79"/>
    <w:rsid w:val="009949EB"/>
    <w:rsid w:val="00996BC5"/>
    <w:rsid w:val="009A0DD7"/>
    <w:rsid w:val="009D007D"/>
    <w:rsid w:val="009F582C"/>
    <w:rsid w:val="00A041B2"/>
    <w:rsid w:val="00A25946"/>
    <w:rsid w:val="00A36CF7"/>
    <w:rsid w:val="00A36E8E"/>
    <w:rsid w:val="00A519D9"/>
    <w:rsid w:val="00A7566C"/>
    <w:rsid w:val="00A852FE"/>
    <w:rsid w:val="00A90EE2"/>
    <w:rsid w:val="00A97B53"/>
    <w:rsid w:val="00A97E52"/>
    <w:rsid w:val="00AA2423"/>
    <w:rsid w:val="00AA25E7"/>
    <w:rsid w:val="00AB3577"/>
    <w:rsid w:val="00AC707E"/>
    <w:rsid w:val="00AD3759"/>
    <w:rsid w:val="00AD7DF5"/>
    <w:rsid w:val="00AE1607"/>
    <w:rsid w:val="00AE5B78"/>
    <w:rsid w:val="00AE5F4D"/>
    <w:rsid w:val="00AE7436"/>
    <w:rsid w:val="00AF1195"/>
    <w:rsid w:val="00AF1A5D"/>
    <w:rsid w:val="00AF4825"/>
    <w:rsid w:val="00AF67CF"/>
    <w:rsid w:val="00B01A12"/>
    <w:rsid w:val="00B14237"/>
    <w:rsid w:val="00B17577"/>
    <w:rsid w:val="00B264DC"/>
    <w:rsid w:val="00B62991"/>
    <w:rsid w:val="00B661F5"/>
    <w:rsid w:val="00B85377"/>
    <w:rsid w:val="00BA019A"/>
    <w:rsid w:val="00BA1F88"/>
    <w:rsid w:val="00BA35C4"/>
    <w:rsid w:val="00BA483A"/>
    <w:rsid w:val="00BA58BC"/>
    <w:rsid w:val="00BB117A"/>
    <w:rsid w:val="00BC3F4A"/>
    <w:rsid w:val="00BC5BA0"/>
    <w:rsid w:val="00BC5C2E"/>
    <w:rsid w:val="00BC67E3"/>
    <w:rsid w:val="00BD5883"/>
    <w:rsid w:val="00BD61AC"/>
    <w:rsid w:val="00BF485A"/>
    <w:rsid w:val="00C020A9"/>
    <w:rsid w:val="00C0590B"/>
    <w:rsid w:val="00C07174"/>
    <w:rsid w:val="00C07AA8"/>
    <w:rsid w:val="00C22C50"/>
    <w:rsid w:val="00C303CA"/>
    <w:rsid w:val="00C313F6"/>
    <w:rsid w:val="00C34AA5"/>
    <w:rsid w:val="00C467D5"/>
    <w:rsid w:val="00C55543"/>
    <w:rsid w:val="00C66CE8"/>
    <w:rsid w:val="00C81947"/>
    <w:rsid w:val="00C90063"/>
    <w:rsid w:val="00C90EEF"/>
    <w:rsid w:val="00CA1545"/>
    <w:rsid w:val="00CB5122"/>
    <w:rsid w:val="00CB6640"/>
    <w:rsid w:val="00CC4915"/>
    <w:rsid w:val="00CC7333"/>
    <w:rsid w:val="00CD0399"/>
    <w:rsid w:val="00CD07F8"/>
    <w:rsid w:val="00CD1BC0"/>
    <w:rsid w:val="00D0354C"/>
    <w:rsid w:val="00D104E0"/>
    <w:rsid w:val="00D14A23"/>
    <w:rsid w:val="00D26B84"/>
    <w:rsid w:val="00D3777C"/>
    <w:rsid w:val="00D531E0"/>
    <w:rsid w:val="00D54EFD"/>
    <w:rsid w:val="00D57F4D"/>
    <w:rsid w:val="00D679D1"/>
    <w:rsid w:val="00D67E17"/>
    <w:rsid w:val="00D7007A"/>
    <w:rsid w:val="00D71F1B"/>
    <w:rsid w:val="00D8255F"/>
    <w:rsid w:val="00D87CDA"/>
    <w:rsid w:val="00D936E9"/>
    <w:rsid w:val="00DC553B"/>
    <w:rsid w:val="00DE0C0E"/>
    <w:rsid w:val="00E11CBC"/>
    <w:rsid w:val="00E311FC"/>
    <w:rsid w:val="00E34815"/>
    <w:rsid w:val="00E4509A"/>
    <w:rsid w:val="00ED7F6F"/>
    <w:rsid w:val="00EE683F"/>
    <w:rsid w:val="00EF0591"/>
    <w:rsid w:val="00EF0823"/>
    <w:rsid w:val="00EF5222"/>
    <w:rsid w:val="00EF5421"/>
    <w:rsid w:val="00F008D4"/>
    <w:rsid w:val="00F03935"/>
    <w:rsid w:val="00F1585E"/>
    <w:rsid w:val="00F30C30"/>
    <w:rsid w:val="00F44508"/>
    <w:rsid w:val="00F46C61"/>
    <w:rsid w:val="00F52D45"/>
    <w:rsid w:val="00F75B7F"/>
    <w:rsid w:val="00F81167"/>
    <w:rsid w:val="00F85157"/>
    <w:rsid w:val="00F909EF"/>
    <w:rsid w:val="00FA5539"/>
    <w:rsid w:val="00FB4014"/>
    <w:rsid w:val="00FC7651"/>
    <w:rsid w:val="42539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DB711"/>
  <w15:chartTrackingRefBased/>
  <w15:docId w15:val="{C3E390AF-D2C6-B140-84C7-EC9984C3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BC5BA0"/>
    <w:pPr>
      <w:keepNext/>
      <w:keepLines/>
      <w:spacing w:after="320"/>
      <w:contextualSpacing/>
      <w:outlineLvl w:val="4"/>
    </w:pPr>
    <w:rPr>
      <w:rFonts w:eastAsiaTheme="majorEastAsia" w:cs="Open Sans"/>
      <w:i/>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BC5BA0"/>
    <w:rPr>
      <w:rFonts w:ascii="Open Sans" w:eastAsiaTheme="majorEastAsia" w:hAnsi="Open Sans" w:cs="Open Sans"/>
      <w:i/>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rsid w:val="00386164"/>
    <w:pPr>
      <w:numPr>
        <w:numId w:val="1"/>
      </w:numPr>
      <w:tabs>
        <w:tab w:val="clear" w:pos="389"/>
        <w:tab w:val="num" w:pos="2160"/>
        <w:tab w:val="left" w:pos="2610"/>
      </w:tabs>
      <w:spacing w:before="240" w:after="120"/>
      <w:ind w:left="2448" w:hanging="288"/>
    </w:pPr>
    <w:rPr>
      <w:rFonts w:eastAsia="Libre Baskerville"/>
      <w:b/>
      <w:bCs/>
    </w:r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D531E0"/>
    <w:pPr>
      <w:tabs>
        <w:tab w:val="center" w:pos="4680"/>
        <w:tab w:val="right" w:pos="9360"/>
      </w:tabs>
    </w:pPr>
  </w:style>
  <w:style w:type="character" w:customStyle="1" w:styleId="HeaderChar">
    <w:name w:val="Header Char"/>
    <w:basedOn w:val="DefaultParagraphFont"/>
    <w:link w:val="Header"/>
    <w:uiPriority w:val="99"/>
    <w:rsid w:val="00D531E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D531E0"/>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D531E0"/>
    <w:rPr>
      <w:rFonts w:ascii="Calibri" w:eastAsia="MS Mincho" w:hAnsi="Calibri" w:cs="Calibri"/>
      <w:color w:val="auto"/>
      <w:sz w:val="20"/>
      <w:szCs w:val="20"/>
      <w:lang w:eastAsia="en-US"/>
    </w:rPr>
  </w:style>
  <w:style w:type="paragraph" w:styleId="NormalWeb">
    <w:name w:val="Normal (Web)"/>
    <w:basedOn w:val="Normal"/>
    <w:uiPriority w:val="99"/>
    <w:unhideWhenUsed/>
    <w:rsid w:val="00BA58BC"/>
    <w:pPr>
      <w:spacing w:before="100" w:beforeAutospacing="1" w:after="100" w:afterAutospacing="1"/>
      <w:ind w:left="0"/>
    </w:pPr>
    <w:rPr>
      <w:rFonts w:ascii="Times New Roman" w:hAnsi="Times New Roman"/>
      <w:sz w:val="24"/>
      <w:szCs w:val="24"/>
    </w:rPr>
  </w:style>
  <w:style w:type="paragraph" w:customStyle="1" w:styleId="SUBSUBbullet">
    <w:name w:val="SUB SUB bullet"/>
    <w:basedOn w:val="ListBullet"/>
    <w:qFormat/>
    <w:rsid w:val="00E11CBC"/>
    <w:pPr>
      <w:numPr>
        <w:numId w:val="6"/>
      </w:numPr>
      <w:ind w:left="2790"/>
    </w:pPr>
    <w:rPr>
      <w:rFonts w:eastAsiaTheme="minorEastAsia"/>
    </w:rPr>
  </w:style>
  <w:style w:type="character" w:customStyle="1" w:styleId="cf01">
    <w:name w:val="cf01"/>
    <w:basedOn w:val="DefaultParagraphFont"/>
    <w:rsid w:val="00002AC6"/>
    <w:rPr>
      <w:rFonts w:ascii="Segoe UI" w:hAnsi="Segoe UI" w:cs="Segoe UI" w:hint="default"/>
      <w:sz w:val="18"/>
      <w:szCs w:val="18"/>
    </w:rPr>
  </w:style>
  <w:style w:type="character" w:customStyle="1" w:styleId="cf11">
    <w:name w:val="cf11"/>
    <w:basedOn w:val="DefaultParagraphFont"/>
    <w:rsid w:val="00002AC6"/>
    <w:rPr>
      <w:rFonts w:ascii="Segoe UI" w:hAnsi="Segoe UI" w:cs="Segoe UI" w:hint="default"/>
      <w:i/>
      <w:iCs/>
      <w:sz w:val="18"/>
      <w:szCs w:val="18"/>
    </w:rPr>
  </w:style>
  <w:style w:type="paragraph" w:customStyle="1" w:styleId="EndNoteBibliography">
    <w:name w:val="EndNote Bibliography"/>
    <w:basedOn w:val="Normal"/>
    <w:link w:val="EndNoteBibliographyChar"/>
    <w:rsid w:val="00002AC6"/>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002AC6"/>
    <w:rPr>
      <w:rFonts w:ascii="Calibri" w:hAnsi="Calibri" w:cs="Calibri"/>
      <w:color w:val="auto"/>
      <w:lang w:eastAsia="en-US"/>
    </w:rPr>
  </w:style>
  <w:style w:type="paragraph" w:customStyle="1" w:styleId="textAcknowledgement">
    <w:name w:val="textAcknowledgement"/>
    <w:basedOn w:val="Normal"/>
    <w:qFormat/>
    <w:rsid w:val="002123EB"/>
    <w:rPr>
      <w:rFonts w:cstheme="minorHAnsi"/>
      <w:bCs/>
      <w:sz w:val="20"/>
      <w:szCs w:val="20"/>
    </w:rPr>
  </w:style>
  <w:style w:type="paragraph" w:customStyle="1" w:styleId="textAcknowledgementList">
    <w:name w:val="textAcknowledgementList"/>
    <w:basedOn w:val="ListBullet"/>
    <w:qFormat/>
    <w:rsid w:val="002123EB"/>
    <w:pPr>
      <w:numPr>
        <w:numId w:val="8"/>
      </w:numPr>
      <w:tabs>
        <w:tab w:val="num" w:pos="360"/>
      </w:tabs>
      <w:ind w:left="2520" w:hanging="270"/>
    </w:pPr>
    <w:rPr>
      <w:sz w:val="20"/>
      <w:szCs w:val="20"/>
    </w:rPr>
  </w:style>
  <w:style w:type="paragraph" w:customStyle="1" w:styleId="TableBullet">
    <w:name w:val="Table Bullet"/>
    <w:basedOn w:val="ListNumber"/>
    <w:qFormat/>
    <w:rsid w:val="00B17577"/>
    <w:pPr>
      <w:numPr>
        <w:numId w:val="9"/>
      </w:numPr>
      <w:tabs>
        <w:tab w:val="clear" w:pos="2610"/>
      </w:tabs>
      <w:spacing w:before="0"/>
    </w:pPr>
    <w:rPr>
      <w:rFonts w:eastAsia="Lato"/>
      <w:b w:val="0"/>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041781608">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3</cp:revision>
  <dcterms:created xsi:type="dcterms:W3CDTF">2024-06-10T19:01:00Z</dcterms:created>
  <dcterms:modified xsi:type="dcterms:W3CDTF">2024-06-17T17:51:00Z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