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EFDE" w14:textId="77777777" w:rsidR="00646187" w:rsidRPr="00535511" w:rsidRDefault="00646187" w:rsidP="00646187">
      <w:pPr>
        <w:pStyle w:val="Heading2"/>
        <w:spacing w:before="240"/>
        <w:rPr>
          <w:rFonts w:cstheme="majorHAnsi"/>
        </w:rPr>
      </w:pPr>
      <w:r w:rsidRPr="00535511">
        <w:rPr>
          <w:rFonts w:cstheme="majorHAnsi"/>
        </w:rPr>
        <w:t xml:space="preserve">ICTP Media </w:t>
      </w:r>
      <w:r>
        <w:rPr>
          <w:rFonts w:cstheme="majorHAnsi"/>
        </w:rPr>
        <w:t>&amp;</w:t>
      </w:r>
      <w:r w:rsidRPr="00535511">
        <w:rPr>
          <w:rFonts w:cstheme="majorHAnsi"/>
        </w:rPr>
        <w:t xml:space="preserve"> Networking Goals, Approach, </w:t>
      </w:r>
      <w:r>
        <w:rPr>
          <w:rFonts w:cstheme="majorHAnsi"/>
        </w:rPr>
        <w:t>&amp;</w:t>
      </w:r>
      <w:r w:rsidRPr="00535511">
        <w:rPr>
          <w:rFonts w:cstheme="majorHAnsi"/>
        </w:rPr>
        <w:t xml:space="preserve"> Theoretical Underpinnings</w:t>
      </w:r>
    </w:p>
    <w:p w14:paraId="3166EA4C" w14:textId="77777777" w:rsidR="00646187" w:rsidRPr="00351150" w:rsidRDefault="00646187" w:rsidP="00646187">
      <w:r w:rsidRPr="00351150">
        <w:t>The specific goals of ICTP media and networking activities are to</w:t>
      </w:r>
    </w:p>
    <w:p w14:paraId="5437267F" w14:textId="77777777" w:rsidR="00646187" w:rsidRPr="00351150" w:rsidRDefault="00646187" w:rsidP="00646187">
      <w:pPr>
        <w:pStyle w:val="ListBullet"/>
      </w:pPr>
      <w:r w:rsidRPr="00351150">
        <w:t xml:space="preserve">accelerate the reach, awareness, accessibility, and application of effective implementation </w:t>
      </w:r>
      <w:proofErr w:type="gramStart"/>
      <w:r w:rsidRPr="00351150">
        <w:t>practices;</w:t>
      </w:r>
      <w:proofErr w:type="gramEnd"/>
    </w:p>
    <w:p w14:paraId="62CCBB83" w14:textId="77777777" w:rsidR="00646187" w:rsidRPr="00351150" w:rsidRDefault="00646187" w:rsidP="00646187">
      <w:pPr>
        <w:pStyle w:val="ListBullet"/>
      </w:pPr>
      <w:r w:rsidRPr="00351150">
        <w:t>provide information about typical issues related to program implementation and scale-</w:t>
      </w:r>
      <w:proofErr w:type="gramStart"/>
      <w:r w:rsidRPr="00351150">
        <w:t>up;</w:t>
      </w:r>
      <w:proofErr w:type="gramEnd"/>
    </w:p>
    <w:p w14:paraId="63428793" w14:textId="77777777" w:rsidR="00646187" w:rsidRPr="00351150" w:rsidRDefault="00646187" w:rsidP="00646187">
      <w:pPr>
        <w:pStyle w:val="ListBullet"/>
      </w:pPr>
      <w:r w:rsidRPr="00351150">
        <w:t xml:space="preserve">model effective implementation </w:t>
      </w:r>
      <w:proofErr w:type="gramStart"/>
      <w:r w:rsidRPr="00351150">
        <w:t>practices;</w:t>
      </w:r>
      <w:proofErr w:type="gramEnd"/>
    </w:p>
    <w:p w14:paraId="0A57FD54" w14:textId="77777777" w:rsidR="00646187" w:rsidRPr="00351150" w:rsidRDefault="00646187" w:rsidP="00646187">
      <w:pPr>
        <w:pStyle w:val="ListBullet"/>
      </w:pPr>
      <w:r w:rsidRPr="00351150">
        <w:t xml:space="preserve">normalize </w:t>
      </w:r>
      <w:r>
        <w:t xml:space="preserve">the </w:t>
      </w:r>
      <w:r w:rsidRPr="00351150">
        <w:t>need for peer and ISP support to learn and apply effective implementation practices; and</w:t>
      </w:r>
    </w:p>
    <w:p w14:paraId="6C9E3AB5" w14:textId="77777777" w:rsidR="00646187" w:rsidRPr="00351150" w:rsidRDefault="00646187" w:rsidP="005E0AFF">
      <w:pPr>
        <w:pStyle w:val="ListBullet"/>
      </w:pPr>
      <w:r w:rsidRPr="00351150">
        <w:t>leverage existing professional networks to accelerate communication efforts and facilitate improved access to implementation support [</w:t>
      </w:r>
      <w:r>
        <w:t>1</w:t>
      </w:r>
      <w:r w:rsidRPr="00351150">
        <w:t>].</w:t>
      </w:r>
    </w:p>
    <w:p w14:paraId="0D3F1EA1" w14:textId="77777777" w:rsidR="00646187" w:rsidRDefault="00646187" w:rsidP="00646187">
      <w:pPr>
        <w:rPr>
          <w:rFonts w:ascii="Libre Baskerville" w:hAnsi="Libre Baskerville" w:cs="Merriweather"/>
        </w:rPr>
      </w:pPr>
    </w:p>
    <w:p w14:paraId="4986B71E" w14:textId="77777777" w:rsidR="00646187" w:rsidRPr="00351150" w:rsidRDefault="00646187" w:rsidP="00646187">
      <w:r w:rsidRPr="00351150">
        <w:t xml:space="preserve">The ICTP </w:t>
      </w:r>
      <w:r>
        <w:t xml:space="preserve">media and networking </w:t>
      </w:r>
      <w:r w:rsidRPr="00351150">
        <w:t xml:space="preserve">approach relies on four components: </w:t>
      </w:r>
    </w:p>
    <w:p w14:paraId="502BCF51" w14:textId="77777777" w:rsidR="00646187" w:rsidRPr="00351150" w:rsidRDefault="00646187">
      <w:pPr>
        <w:pStyle w:val="ListBullet"/>
        <w:numPr>
          <w:ilvl w:val="0"/>
          <w:numId w:val="10"/>
        </w:numPr>
        <w:ind w:left="2700" w:hanging="270"/>
      </w:pPr>
      <w:r>
        <w:t>identifying</w:t>
      </w:r>
      <w:r w:rsidRPr="00351150">
        <w:t xml:space="preserve"> existing networks through which system partners interact for implementation information, advice, and </w:t>
      </w:r>
      <w:proofErr w:type="gramStart"/>
      <w:r w:rsidRPr="00351150">
        <w:t>expertise;</w:t>
      </w:r>
      <w:proofErr w:type="gramEnd"/>
    </w:p>
    <w:p w14:paraId="3BBD32F6" w14:textId="77777777" w:rsidR="00646187" w:rsidRPr="00351150" w:rsidRDefault="00646187">
      <w:pPr>
        <w:pStyle w:val="ListBullet"/>
        <w:numPr>
          <w:ilvl w:val="0"/>
          <w:numId w:val="10"/>
        </w:numPr>
        <w:ind w:left="2700" w:hanging="270"/>
      </w:pPr>
      <w:r w:rsidRPr="00351150">
        <w:t xml:space="preserve">measuring partners’ perceptions of how supportive existing networks are in meeting their needs and </w:t>
      </w:r>
      <w:proofErr w:type="gramStart"/>
      <w:r w:rsidRPr="00351150">
        <w:t>preferences;</w:t>
      </w:r>
      <w:proofErr w:type="gramEnd"/>
      <w:r w:rsidRPr="00351150">
        <w:t xml:space="preserve"> </w:t>
      </w:r>
    </w:p>
    <w:p w14:paraId="6458EDB8" w14:textId="77777777" w:rsidR="00646187" w:rsidRPr="00351150" w:rsidRDefault="00646187">
      <w:pPr>
        <w:pStyle w:val="ListBullet"/>
        <w:numPr>
          <w:ilvl w:val="0"/>
          <w:numId w:val="10"/>
        </w:numPr>
        <w:ind w:left="2700" w:hanging="270"/>
      </w:pPr>
      <w:r>
        <w:t xml:space="preserve">utilizing </w:t>
      </w:r>
      <w:r w:rsidRPr="00351150">
        <w:t>media, messaging, and public communication strategies to integrate and model effective implementation practices within these existing networks; and</w:t>
      </w:r>
    </w:p>
    <w:p w14:paraId="42A48A54" w14:textId="77777777" w:rsidR="00646187" w:rsidRDefault="00646187">
      <w:pPr>
        <w:pStyle w:val="ListBullet"/>
        <w:numPr>
          <w:ilvl w:val="0"/>
          <w:numId w:val="10"/>
        </w:numPr>
        <w:ind w:left="2700" w:hanging="270"/>
      </w:pPr>
      <w:r>
        <w:t xml:space="preserve">implementing </w:t>
      </w:r>
      <w:r w:rsidRPr="00351150">
        <w:t xml:space="preserve">strategies to increase partners’ experience of support in ways that meet their needs and preferences. </w:t>
      </w:r>
    </w:p>
    <w:p w14:paraId="62AAC4EE" w14:textId="77777777" w:rsidR="00B06592" w:rsidRDefault="00B06592" w:rsidP="006C4379">
      <w:pPr>
        <w:ind w:left="0"/>
      </w:pPr>
    </w:p>
    <w:p w14:paraId="37CA6A3B" w14:textId="77777777" w:rsidR="00B06592" w:rsidRPr="00351150" w:rsidRDefault="00B06592" w:rsidP="00B06592">
      <w:r>
        <w:t>W</w:t>
      </w:r>
      <w:r w:rsidRPr="00351150">
        <w:t>e believe that overlaying</w:t>
      </w:r>
      <w:r>
        <w:t>—and expanding—</w:t>
      </w:r>
      <w:r w:rsidRPr="00351150">
        <w:t>media and communications about effective implementation practices within existing networks provides the opportunity to accelerate implementation and scaling outcomes in a way that direct supports alone would be unable to achieve. This provides a complementary mechanism with broad reach to guide co-creation partners’ activities toward effective practices and equitable, sustainable outcomes.</w:t>
      </w:r>
    </w:p>
    <w:p w14:paraId="22A617EB" w14:textId="77777777" w:rsidR="00B06592" w:rsidRDefault="00B06592" w:rsidP="00646187"/>
    <w:p w14:paraId="4AC30472" w14:textId="62176AD8" w:rsidR="00646187" w:rsidRPr="00351150" w:rsidRDefault="00646187" w:rsidP="00B06592">
      <w:r w:rsidRPr="00351150">
        <w:t xml:space="preserve">This approach aligns with social cognitive theory in several ways. First, ICTP media and networking opportunities </w:t>
      </w:r>
      <w:r>
        <w:t>employ</w:t>
      </w:r>
      <w:r w:rsidRPr="00351150">
        <w:t xml:space="preserve"> the concept of </w:t>
      </w:r>
      <w:hyperlink r:id="rId8" w:tooltip="Refer to Brief 5: Foundations of the ICTP Implementation Support Practice Model, Section Theoretical Underpinnings" w:history="1">
        <w:r w:rsidRPr="00F64FFA">
          <w:rPr>
            <w:rStyle w:val="Hyperlink"/>
            <w:shd w:val="clear" w:color="auto" w:fill="EEF6FA"/>
          </w:rPr>
          <w:t>reciprocal determinism</w:t>
        </w:r>
      </w:hyperlink>
      <w:r w:rsidRPr="005E0AFF">
        <w:rPr>
          <w:shd w:val="clear" w:color="auto" w:fill="EEF6FA"/>
        </w:rPr>
        <w:t xml:space="preserve">. </w:t>
      </w:r>
      <w:r w:rsidRPr="00351150">
        <w:t xml:space="preserve">When we foster Triple P system environments that promote effective implementation practices, we influence cognitive and behavioral factors across community leaders and implementation teams, who then may </w:t>
      </w:r>
      <w:r w:rsidR="008A1D51">
        <w:rPr>
          <w:rFonts w:eastAsia="Libre Baskerville"/>
          <w:noProof/>
        </w:rPr>
        <w:lastRenderedPageBreak/>
        <mc:AlternateContent>
          <mc:Choice Requires="wps">
            <w:drawing>
              <wp:anchor distT="0" distB="0" distL="114300" distR="274320" simplePos="0" relativeHeight="251668480" behindDoc="0" locked="0" layoutInCell="1" allowOverlap="0" wp14:anchorId="3DAD4BA0" wp14:editId="4DBB29C8">
                <wp:simplePos x="0" y="0"/>
                <wp:positionH relativeFrom="column">
                  <wp:posOffset>-419100</wp:posOffset>
                </wp:positionH>
                <wp:positionV relativeFrom="paragraph">
                  <wp:posOffset>0</wp:posOffset>
                </wp:positionV>
                <wp:extent cx="1520190" cy="2659380"/>
                <wp:effectExtent l="0" t="0" r="22860" b="25400"/>
                <wp:wrapThrough wrapText="right">
                  <wp:wrapPolygon edited="0">
                    <wp:start x="0" y="0"/>
                    <wp:lineTo x="0" y="21649"/>
                    <wp:lineTo x="14774" y="21649"/>
                    <wp:lineTo x="14774" y="11782"/>
                    <wp:lineTo x="21651" y="11045"/>
                    <wp:lineTo x="21651" y="10604"/>
                    <wp:lineTo x="14774" y="9425"/>
                    <wp:lineTo x="14774" y="0"/>
                    <wp:lineTo x="0" y="0"/>
                  </wp:wrapPolygon>
                </wp:wrapThrough>
                <wp:docPr id="1937459780" name="Rectangle 3"/>
                <wp:cNvGraphicFramePr/>
                <a:graphic xmlns:a="http://schemas.openxmlformats.org/drawingml/2006/main">
                  <a:graphicData uri="http://schemas.microsoft.com/office/word/2010/wordprocessingShape">
                    <wps:wsp>
                      <wps:cNvSpPr/>
                      <wps:spPr>
                        <a:xfrm>
                          <a:off x="0" y="0"/>
                          <a:ext cx="1520190" cy="2659380"/>
                        </a:xfrm>
                        <a:prstGeom prst="rightArrowCallout">
                          <a:avLst>
                            <a:gd name="adj1" fmla="val 0"/>
                            <a:gd name="adj2" fmla="val 0"/>
                            <a:gd name="adj3" fmla="val 25000"/>
                            <a:gd name="adj4" fmla="val 64977"/>
                          </a:avLst>
                        </a:prstGeom>
                        <a:ln>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1A8102AA" w14:textId="77777777" w:rsidR="008A1D51" w:rsidRPr="00FF209C" w:rsidRDefault="008A1D51" w:rsidP="008A1D51">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624FF46B" w14:textId="77777777" w:rsidR="008A1D51" w:rsidRPr="00FF209C" w:rsidRDefault="008A1D51" w:rsidP="008A1D51">
                            <w:pPr>
                              <w:pStyle w:val="FigureTitles"/>
                              <w:jc w:val="center"/>
                              <w:rPr>
                                <w:color w:val="002060"/>
                                <w:sz w:val="16"/>
                                <w:szCs w:val="16"/>
                                <w14:textOutline w14:w="12700" w14:cap="rnd" w14:cmpd="sng" w14:algn="ctr">
                                  <w14:noFill/>
                                  <w14:prstDash w14:val="solid"/>
                                  <w14:bevel/>
                                </w14:textOutline>
                              </w:rPr>
                            </w:pPr>
                          </w:p>
                          <w:p w14:paraId="3060A3B5" w14:textId="77777777" w:rsidR="008A1D51" w:rsidRPr="006C4379" w:rsidRDefault="008A1D51" w:rsidP="008A1D51">
                            <w:pPr>
                              <w:pStyle w:val="CallOutBoxBullets"/>
                              <w:numPr>
                                <w:ilvl w:val="0"/>
                                <w:numId w:val="0"/>
                              </w:numPr>
                              <w:ind w:left="-90"/>
                              <w:rPr>
                                <w:color w:val="002060"/>
                                <w14:textOutline w14:w="12700" w14:cap="rnd" w14:cmpd="sng" w14:algn="ctr">
                                  <w14:noFill/>
                                  <w14:prstDash w14:val="solid"/>
                                  <w14:bevel/>
                                </w14:textOutline>
                              </w:rPr>
                            </w:pPr>
                            <w:r>
                              <w:rPr>
                                <w:b w:val="0"/>
                                <w:bCs w:val="0"/>
                                <w:color w:val="002060"/>
                                <w14:textOutline w14:w="12700" w14:cap="rnd" w14:cmpd="sng" w14:algn="ctr">
                                  <w14:noFill/>
                                  <w14:prstDash w14:val="solid"/>
                                  <w14:bevel/>
                                </w14:textOutline>
                              </w:rPr>
                              <w:t>Download</w:t>
                            </w:r>
                            <w:r w:rsidRPr="006C4379">
                              <w:rPr>
                                <w:color w:val="002060"/>
                                <w14:textOutline w14:w="12700" w14:cap="rnd" w14:cmpd="sng" w14:algn="ctr">
                                  <w14:noFill/>
                                  <w14:prstDash w14:val="solid"/>
                                  <w14:bevel/>
                                </w14:textOutline>
                              </w:rPr>
                              <w:t xml:space="preserve"> Brief #5: </w:t>
                            </w:r>
                            <w:r w:rsidRPr="006C4379">
                              <w:rPr>
                                <w:b w:val="0"/>
                                <w:bCs w:val="0"/>
                                <w:color w:val="002060"/>
                                <w14:textOutline w14:w="12700" w14:cap="rnd" w14:cmpd="sng" w14:algn="ctr">
                                  <w14:noFill/>
                                  <w14:prstDash w14:val="solid"/>
                                  <w14:bevel/>
                                </w14:textOutline>
                              </w:rPr>
                              <w:t>Foundations of the ICTP Implementation Support Practice Model</w:t>
                            </w:r>
                            <w:r w:rsidRPr="006C4379">
                              <w:rPr>
                                <w:color w:val="002060"/>
                                <w14:textOutline w14:w="12700" w14:cap="rnd" w14:cmpd="sng" w14:algn="ctr">
                                  <w14:noFill/>
                                  <w14:prstDash w14:val="solid"/>
                                  <w14:bevel/>
                                </w14:textOutline>
                              </w:rPr>
                              <w:t xml:space="preserve">, section </w:t>
                            </w:r>
                            <w:hyperlink r:id="rId9" w:history="1">
                              <w:r w:rsidRPr="00065881">
                                <w:rPr>
                                  <w:rStyle w:val="Hyperlink"/>
                                  <w:sz w:val="16"/>
                                  <w14:textOutline w14:w="12700" w14:cap="rnd" w14:cmpd="sng" w14:algn="ctr">
                                    <w14:noFill/>
                                    <w14:prstDash w14:val="solid"/>
                                    <w14:bevel/>
                                  </w14:textOutline>
                                </w:rPr>
                                <w:t>Theoretical Underpinnings</w:t>
                              </w:r>
                            </w:hyperlink>
                            <w:r>
                              <w:rPr>
                                <w:color w:val="002060"/>
                                <w14:textOutline w14:w="12700" w14:cap="rnd" w14:cmpd="sng" w14:algn="ctr">
                                  <w14:noFill/>
                                  <w14:prstDash w14:val="solid"/>
                                  <w14:bevel/>
                                </w14:textOutline>
                              </w:rPr>
                              <w:t xml:space="preserve"> (docx) </w:t>
                            </w:r>
                            <w:r w:rsidRPr="006C4379">
                              <w:rPr>
                                <w:color w:val="002060"/>
                                <w14:textOutline w14:w="12700" w14:cap="rnd" w14:cmpd="sng" w14:algn="ctr">
                                  <w14:noFill/>
                                  <w14:prstDash w14:val="solid"/>
                                  <w14:bevel/>
                                </w14:textOutline>
                              </w:rPr>
                              <w:t xml:space="preserve"> </w:t>
                            </w:r>
                            <w:r w:rsidRPr="006C4379">
                              <w:rPr>
                                <w:b w:val="0"/>
                                <w:bCs w:val="0"/>
                                <w:color w:val="002060"/>
                                <w14:textOutline w14:w="12700" w14:cap="rnd" w14:cmpd="sng" w14:algn="ctr">
                                  <w14:noFill/>
                                  <w14:prstDash w14:val="solid"/>
                                  <w14:bevel/>
                                </w14:textOutline>
                              </w:rPr>
                              <w:t xml:space="preserve">to learn more on </w:t>
                            </w:r>
                            <w:r w:rsidRPr="006C4379">
                              <w:rPr>
                                <w:b w:val="0"/>
                                <w:bCs w:val="0"/>
                                <w:color w:val="002060"/>
                              </w:rPr>
                              <w:t>the Social Cognitive Theory in action: Observational Learning, Personal Agency, &amp; Self- Efficacy.</w:t>
                            </w:r>
                          </w:p>
                          <w:p w14:paraId="067533BE" w14:textId="77777777" w:rsidR="008A1D51" w:rsidRPr="00FF209C" w:rsidRDefault="008A1D51" w:rsidP="008A1D51">
                            <w:pPr>
                              <w:pStyle w:val="FigureTitles"/>
                              <w:rPr>
                                <w:b w:val="0"/>
                                <w:bCs w:val="0"/>
                                <w:color w:val="002060"/>
                                <w:sz w:val="16"/>
                                <w:szCs w:val="16"/>
                                <w14:textOutline w14:w="12700"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DAD4BA0"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ectangle 3" o:spid="_x0000_s1026" type="#_x0000_t78" style="position:absolute;left:0;text-align:left;margin-left:-33pt;margin-top:0;width:119.7pt;height:209.4pt;z-index:251668480;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" o:allowoverlap="f" adj="14035,10800,16200,10800" fillcolor="white [3201]" strokecolor="#487b97 [3205]" strokeweight="1pt">
                <v:textbox inset=",7.2pt,,0">
                  <w:txbxContent>
                    <w:p w14:paraId="1A8102AA" w14:textId="77777777" w:rsidR="008A1D51" w:rsidRPr="00FF209C" w:rsidRDefault="008A1D51" w:rsidP="008A1D51">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624FF46B" w14:textId="77777777" w:rsidR="008A1D51" w:rsidRPr="00FF209C" w:rsidRDefault="008A1D51" w:rsidP="008A1D51">
                      <w:pPr>
                        <w:pStyle w:val="FigureTitles"/>
                        <w:jc w:val="center"/>
                        <w:rPr>
                          <w:color w:val="002060"/>
                          <w:sz w:val="16"/>
                          <w:szCs w:val="16"/>
                          <w14:textOutline w14:w="12700" w14:cap="rnd" w14:cmpd="sng" w14:algn="ctr">
                            <w14:noFill/>
                            <w14:prstDash w14:val="solid"/>
                            <w14:bevel/>
                          </w14:textOutline>
                        </w:rPr>
                      </w:pPr>
                    </w:p>
                    <w:p w14:paraId="3060A3B5" w14:textId="77777777" w:rsidR="008A1D51" w:rsidRPr="006C4379" w:rsidRDefault="008A1D51" w:rsidP="008A1D51">
                      <w:pPr>
                        <w:pStyle w:val="CallOutBoxBullets"/>
                        <w:numPr>
                          <w:ilvl w:val="0"/>
                          <w:numId w:val="0"/>
                        </w:numPr>
                        <w:ind w:left="-90"/>
                        <w:rPr>
                          <w:color w:val="002060"/>
                          <w14:textOutline w14:w="12700" w14:cap="rnd" w14:cmpd="sng" w14:algn="ctr">
                            <w14:noFill/>
                            <w14:prstDash w14:val="solid"/>
                            <w14:bevel/>
                          </w14:textOutline>
                        </w:rPr>
                      </w:pPr>
                      <w:r>
                        <w:rPr>
                          <w:b w:val="0"/>
                          <w:bCs w:val="0"/>
                          <w:color w:val="002060"/>
                          <w14:textOutline w14:w="12700" w14:cap="rnd" w14:cmpd="sng" w14:algn="ctr">
                            <w14:noFill/>
                            <w14:prstDash w14:val="solid"/>
                            <w14:bevel/>
                          </w14:textOutline>
                        </w:rPr>
                        <w:t>Download</w:t>
                      </w:r>
                      <w:r w:rsidRPr="006C4379">
                        <w:rPr>
                          <w:color w:val="002060"/>
                          <w14:textOutline w14:w="12700" w14:cap="rnd" w14:cmpd="sng" w14:algn="ctr">
                            <w14:noFill/>
                            <w14:prstDash w14:val="solid"/>
                            <w14:bevel/>
                          </w14:textOutline>
                        </w:rPr>
                        <w:t xml:space="preserve"> Brief #5: </w:t>
                      </w:r>
                      <w:r w:rsidRPr="006C4379">
                        <w:rPr>
                          <w:b w:val="0"/>
                          <w:bCs w:val="0"/>
                          <w:color w:val="002060"/>
                          <w14:textOutline w14:w="12700" w14:cap="rnd" w14:cmpd="sng" w14:algn="ctr">
                            <w14:noFill/>
                            <w14:prstDash w14:val="solid"/>
                            <w14:bevel/>
                          </w14:textOutline>
                        </w:rPr>
                        <w:t>Foundations of the ICTP Implementation Support Practice Model</w:t>
                      </w:r>
                      <w:r w:rsidRPr="006C4379">
                        <w:rPr>
                          <w:color w:val="002060"/>
                          <w14:textOutline w14:w="12700" w14:cap="rnd" w14:cmpd="sng" w14:algn="ctr">
                            <w14:noFill/>
                            <w14:prstDash w14:val="solid"/>
                            <w14:bevel/>
                          </w14:textOutline>
                        </w:rPr>
                        <w:t xml:space="preserve">, section </w:t>
                      </w:r>
                      <w:hyperlink r:id="rId10" w:history="1">
                        <w:r w:rsidRPr="00065881">
                          <w:rPr>
                            <w:rStyle w:val="Hyperlink"/>
                            <w:sz w:val="16"/>
                            <w14:textOutline w14:w="12700" w14:cap="rnd" w14:cmpd="sng" w14:algn="ctr">
                              <w14:noFill/>
                              <w14:prstDash w14:val="solid"/>
                              <w14:bevel/>
                            </w14:textOutline>
                          </w:rPr>
                          <w:t>Theoretical Underpinnin</w:t>
                        </w:r>
                        <w:r w:rsidRPr="00065881">
                          <w:rPr>
                            <w:rStyle w:val="Hyperlink"/>
                            <w:sz w:val="16"/>
                            <w14:textOutline w14:w="12700" w14:cap="rnd" w14:cmpd="sng" w14:algn="ctr">
                              <w14:noFill/>
                              <w14:prstDash w14:val="solid"/>
                              <w14:bevel/>
                            </w14:textOutline>
                          </w:rPr>
                          <w:t>g</w:t>
                        </w:r>
                        <w:r w:rsidRPr="00065881">
                          <w:rPr>
                            <w:rStyle w:val="Hyperlink"/>
                            <w:sz w:val="16"/>
                            <w14:textOutline w14:w="12700" w14:cap="rnd" w14:cmpd="sng" w14:algn="ctr">
                              <w14:noFill/>
                              <w14:prstDash w14:val="solid"/>
                              <w14:bevel/>
                            </w14:textOutline>
                          </w:rPr>
                          <w:t>s</w:t>
                        </w:r>
                      </w:hyperlink>
                      <w:r>
                        <w:rPr>
                          <w:color w:val="002060"/>
                          <w14:textOutline w14:w="12700" w14:cap="rnd" w14:cmpd="sng" w14:algn="ctr">
                            <w14:noFill/>
                            <w14:prstDash w14:val="solid"/>
                            <w14:bevel/>
                          </w14:textOutline>
                        </w:rPr>
                        <w:t xml:space="preserve"> (docx) </w:t>
                      </w:r>
                      <w:r w:rsidRPr="006C4379">
                        <w:rPr>
                          <w:color w:val="002060"/>
                          <w14:textOutline w14:w="12700" w14:cap="rnd" w14:cmpd="sng" w14:algn="ctr">
                            <w14:noFill/>
                            <w14:prstDash w14:val="solid"/>
                            <w14:bevel/>
                          </w14:textOutline>
                        </w:rPr>
                        <w:t xml:space="preserve"> </w:t>
                      </w:r>
                      <w:r w:rsidRPr="006C4379">
                        <w:rPr>
                          <w:b w:val="0"/>
                          <w:bCs w:val="0"/>
                          <w:color w:val="002060"/>
                          <w14:textOutline w14:w="12700" w14:cap="rnd" w14:cmpd="sng" w14:algn="ctr">
                            <w14:noFill/>
                            <w14:prstDash w14:val="solid"/>
                            <w14:bevel/>
                          </w14:textOutline>
                        </w:rPr>
                        <w:t xml:space="preserve">to learn more on </w:t>
                      </w:r>
                      <w:r w:rsidRPr="006C4379">
                        <w:rPr>
                          <w:b w:val="0"/>
                          <w:bCs w:val="0"/>
                          <w:color w:val="002060"/>
                        </w:rPr>
                        <w:t>the Social Cognitive Theory in action: Observational Learning, Personal Agency, &amp; Self- Efficacy.</w:t>
                      </w:r>
                    </w:p>
                    <w:p w14:paraId="067533BE" w14:textId="77777777" w:rsidR="008A1D51" w:rsidRPr="00FF209C" w:rsidRDefault="008A1D51" w:rsidP="008A1D51">
                      <w:pPr>
                        <w:pStyle w:val="FigureTitles"/>
                        <w:rPr>
                          <w:b w:val="0"/>
                          <w:bCs w:val="0"/>
                          <w:color w:val="002060"/>
                          <w:sz w:val="16"/>
                          <w:szCs w:val="16"/>
                          <w14:textOutline w14:w="12700" w14:cap="rnd" w14:cmpd="sng" w14:algn="ctr">
                            <w14:noFill/>
                            <w14:prstDash w14:val="solid"/>
                            <w14:bevel/>
                          </w14:textOutline>
                        </w:rPr>
                      </w:pPr>
                    </w:p>
                  </w:txbxContent>
                </v:textbox>
                <w10:wrap type="through" side="right"/>
              </v:shape>
            </w:pict>
          </mc:Fallback>
        </mc:AlternateContent>
      </w:r>
      <w:r w:rsidRPr="00351150">
        <w:t xml:space="preserve">be more likely to use such practices. Macro-level environments begin to shape micro-level thoughts and behaviors. </w:t>
      </w:r>
    </w:p>
    <w:p w14:paraId="368E7037" w14:textId="398F0206" w:rsidR="00646187" w:rsidRPr="00351150" w:rsidRDefault="00646187" w:rsidP="00646187"/>
    <w:p w14:paraId="320D5BD6" w14:textId="43279F4F" w:rsidR="00646187" w:rsidRDefault="00646187" w:rsidP="00646187">
      <w:r w:rsidRPr="00351150">
        <w:t xml:space="preserve">Similarly, </w:t>
      </w:r>
      <w:r>
        <w:t>when</w:t>
      </w:r>
      <w:r w:rsidRPr="00351150">
        <w:t xml:space="preserve"> community Triple P leaders and implementation </w:t>
      </w:r>
      <w:proofErr w:type="gramStart"/>
      <w:r w:rsidRPr="00351150">
        <w:t>teams</w:t>
      </w:r>
      <w:proofErr w:type="gramEnd"/>
      <w:r w:rsidRPr="00351150">
        <w:t xml:space="preserve"> </w:t>
      </w:r>
      <w:r>
        <w:t>model</w:t>
      </w:r>
      <w:r w:rsidRPr="00351150">
        <w:t xml:space="preserve"> effective implementation practices throughout the larger network, observational learning opportunities multiply. </w:t>
      </w:r>
      <w:r>
        <w:t xml:space="preserve">As exemplified in </w:t>
      </w:r>
      <w:r w:rsidRPr="00CD43BE">
        <w:rPr>
          <w:b/>
          <w:bCs/>
        </w:rPr>
        <w:t>Box 9.1</w:t>
      </w:r>
      <w:r>
        <w:t>, u</w:t>
      </w:r>
      <w:r w:rsidRPr="00351150">
        <w:t>sing community agents as models may also reinforce their own perceptions of personal agency and self-efficacy.</w:t>
      </w:r>
    </w:p>
    <w:p w14:paraId="558F38F4" w14:textId="40754CAC" w:rsidR="006E7448" w:rsidRDefault="006E7448" w:rsidP="00646187"/>
    <w:p w14:paraId="502F90E7" w14:textId="1AAFCEBE" w:rsidR="0011178C" w:rsidRPr="006159D8" w:rsidRDefault="0011178C" w:rsidP="006159D8">
      <w:pPr>
        <w:pStyle w:val="highlightCallout"/>
      </w:pPr>
      <w:r w:rsidRPr="006159D8">
        <w:t>Reference sidebar Dive Deeper for more information on the Social Cognitive Theory in action: Observational Learning, Personal Agency, &amp; Self- Efficacy.</w:t>
      </w:r>
    </w:p>
    <w:p w14:paraId="4B5AB4EF" w14:textId="77777777" w:rsidR="0011178C" w:rsidRDefault="0011178C" w:rsidP="00646187"/>
    <w:p w14:paraId="1CF0E016" w14:textId="5443C469" w:rsidR="006E7448" w:rsidRDefault="006E7448" w:rsidP="006C4379">
      <w:pPr>
        <w:pStyle w:val="Caption"/>
        <w:ind w:left="0" w:right="270"/>
        <w:rPr>
          <w:rFonts w:eastAsia="Libre Baskerville"/>
        </w:rPr>
      </w:pPr>
    </w:p>
    <w:tbl>
      <w:tblPr>
        <w:tblStyle w:val="TableGrid"/>
        <w:tblW w:w="7776" w:type="dxa"/>
        <w:tblCellSpacing w:w="20" w:type="dxa"/>
        <w:tblInd w:w="2107" w:type="dxa"/>
        <w:tblBorders>
          <w:top w:val="thinThickLargeGap" w:sz="24" w:space="0" w:color="20BEC7"/>
          <w:left w:val="thinThickLargeGap" w:sz="24" w:space="0" w:color="20BEC7"/>
          <w:bottom w:val="thickThinLargeGap" w:sz="24" w:space="0" w:color="20BEC7"/>
          <w:right w:val="thickThinLargeGap" w:sz="24" w:space="0" w:color="20BEC7"/>
          <w:insideH w:val="none" w:sz="0" w:space="0" w:color="auto"/>
          <w:insideV w:val="none" w:sz="0" w:space="0" w:color="auto"/>
        </w:tblBorders>
        <w:shd w:val="clear" w:color="auto" w:fill="FFFFFF" w:themeFill="background1"/>
        <w:tblLook w:val="04A0" w:firstRow="1" w:lastRow="0" w:firstColumn="1" w:lastColumn="0" w:noHBand="0" w:noVBand="1"/>
      </w:tblPr>
      <w:tblGrid>
        <w:gridCol w:w="7776"/>
      </w:tblGrid>
      <w:tr w:rsidR="00BD747A" w:rsidRPr="008A3F6A" w14:paraId="4604ABCD" w14:textId="77777777" w:rsidTr="00BD747A">
        <w:trPr>
          <w:trHeight w:val="5040"/>
          <w:tblCellSpacing w:w="20" w:type="dxa"/>
        </w:trPr>
        <w:tc>
          <w:tcPr>
            <w:tcW w:w="7696" w:type="dxa"/>
            <w:shd w:val="clear" w:color="auto" w:fill="FFFFFF" w:themeFill="background1"/>
          </w:tcPr>
          <w:p w14:paraId="36DB52F5" w14:textId="77777777" w:rsidR="00CD43BE" w:rsidRDefault="00CD43BE" w:rsidP="00E405D0">
            <w:pPr>
              <w:pStyle w:val="BOXtitle"/>
              <w:tabs>
                <w:tab w:val="left" w:pos="6960"/>
              </w:tabs>
              <w:ind w:left="170" w:hanging="5"/>
            </w:pPr>
            <w:r w:rsidRPr="004D30DC">
              <w:rPr>
                <w:rFonts w:eastAsia="Libre Baskerville"/>
              </w:rPr>
              <w:t xml:space="preserve">Box </w:t>
            </w:r>
            <w:r>
              <w:rPr>
                <w:rFonts w:eastAsia="Libre Baskerville"/>
              </w:rPr>
              <w:t>9</w:t>
            </w:r>
            <w:r w:rsidRPr="004D30DC">
              <w:rPr>
                <w:rFonts w:eastAsia="Libre Baskerville"/>
              </w:rPr>
              <w:t>.1</w:t>
            </w:r>
            <w:r>
              <w:rPr>
                <w:rFonts w:eastAsia="Libre Baskerville"/>
              </w:rPr>
              <w:t xml:space="preserve"> </w:t>
            </w:r>
            <w:r w:rsidRPr="00CD43BE">
              <w:rPr>
                <w:rFonts w:eastAsia="Libre Baskerville"/>
                <w:b w:val="0"/>
                <w:bCs w:val="0"/>
              </w:rPr>
              <w:t>ICTP Case Example of</w:t>
            </w:r>
            <w:r w:rsidRPr="00257E69">
              <w:rPr>
                <w:rFonts w:eastAsia="Libre Baskerville"/>
              </w:rPr>
              <w:t xml:space="preserve"> </w:t>
            </w:r>
            <w:r w:rsidRPr="00CD43BE">
              <w:t>Using Community Agents as Models of Effective Implementation Practices</w:t>
            </w:r>
            <w:r>
              <w:t xml:space="preserve"> </w:t>
            </w:r>
          </w:p>
          <w:p w14:paraId="033D82CB" w14:textId="77777777" w:rsidR="00CD43BE" w:rsidRDefault="00CD43BE" w:rsidP="00E405D0">
            <w:pPr>
              <w:tabs>
                <w:tab w:val="left" w:pos="6960"/>
              </w:tabs>
              <w:ind w:left="170" w:right="72" w:hanging="5"/>
            </w:pPr>
          </w:p>
          <w:p w14:paraId="0367F3E8" w14:textId="170A5A79" w:rsidR="006E7448" w:rsidRPr="008A3F6A" w:rsidRDefault="00000000" w:rsidP="00E405D0">
            <w:pPr>
              <w:tabs>
                <w:tab w:val="left" w:pos="6960"/>
              </w:tabs>
              <w:ind w:left="170" w:right="72" w:hanging="5"/>
              <w:rPr>
                <w:rFonts w:ascii="Libre Baskerville" w:hAnsi="Libre Baskerville"/>
              </w:rPr>
            </w:pPr>
            <w:hyperlink r:id="rId11" w:history="1">
              <w:r w:rsidR="006E7448" w:rsidRPr="006E7448">
                <w:rPr>
                  <w:rStyle w:val="Hyperlink"/>
                  <w:rFonts w:eastAsiaTheme="majorEastAsia" w:cs="Open Sans"/>
                  <w:i/>
                  <w:iCs/>
                </w:rPr>
                <w:t>The Implementeer</w:t>
              </w:r>
            </w:hyperlink>
            <w:r w:rsidR="006E7448" w:rsidRPr="006E7448">
              <w:rPr>
                <w:rFonts w:cs="Open Sans"/>
              </w:rPr>
              <w:t xml:space="preserve"> is a quarterly </w:t>
            </w:r>
            <w:proofErr w:type="spellStart"/>
            <w:r w:rsidR="006E7448" w:rsidRPr="006E7448">
              <w:rPr>
                <w:rFonts w:cs="Open Sans"/>
              </w:rPr>
              <w:t>eNewsletter</w:t>
            </w:r>
            <w:proofErr w:type="spellEnd"/>
            <w:r w:rsidR="006E7448" w:rsidRPr="006E7448">
              <w:rPr>
                <w:rFonts w:cs="Open Sans"/>
              </w:rPr>
              <w:t xml:space="preserve"> that shares implementation stories from community Triple P agents, who act as models for their peers. Recent editions have focused on </w:t>
            </w:r>
            <w:hyperlink r:id="rId12" w:history="1">
              <w:r w:rsidR="006E7448" w:rsidRPr="006E7448">
                <w:rPr>
                  <w:rStyle w:val="Hyperlink"/>
                  <w:rFonts w:eastAsiaTheme="majorEastAsia" w:cs="Open Sans"/>
                </w:rPr>
                <w:t>data walks</w:t>
              </w:r>
            </w:hyperlink>
            <w:r w:rsidR="006E7448" w:rsidRPr="006E7448">
              <w:rPr>
                <w:rFonts w:cs="Open Sans"/>
              </w:rPr>
              <w:t xml:space="preserve">, </w:t>
            </w:r>
            <w:hyperlink r:id="rId13" w:history="1">
              <w:r w:rsidR="006E7448" w:rsidRPr="006E7448">
                <w:rPr>
                  <w:rStyle w:val="Hyperlink"/>
                  <w:rFonts w:eastAsiaTheme="majorEastAsia" w:cs="Open Sans"/>
                </w:rPr>
                <w:t>connecting with key leaders</w:t>
              </w:r>
            </w:hyperlink>
            <w:r w:rsidR="006E7448" w:rsidRPr="006E7448">
              <w:rPr>
                <w:rFonts w:cs="Open Sans"/>
              </w:rPr>
              <w:t xml:space="preserve">, and community </w:t>
            </w:r>
            <w:hyperlink r:id="rId14" w:history="1">
              <w:r w:rsidR="006E7448" w:rsidRPr="006E7448">
                <w:rPr>
                  <w:rStyle w:val="Hyperlink"/>
                  <w:rFonts w:eastAsiaTheme="majorEastAsia" w:cs="Open Sans"/>
                </w:rPr>
                <w:t>coalitions</w:t>
              </w:r>
            </w:hyperlink>
            <w:r w:rsidR="006E7448" w:rsidRPr="006E7448">
              <w:rPr>
                <w:rFonts w:cs="Open Sans"/>
              </w:rPr>
              <w:t>. In alignment with ICTP media and networking goals, the stories provide information about typical issues related to program implementation and scale-up and share effective implementation practices. Similarly, the ICTP project’s short podcast series, “</w:t>
            </w:r>
            <w:hyperlink r:id="rId15" w:history="1">
              <w:r w:rsidR="006E7448" w:rsidRPr="006E7448">
                <w:rPr>
                  <w:rStyle w:val="Hyperlink"/>
                  <w:rFonts w:eastAsiaTheme="majorEastAsia" w:cs="Open Sans"/>
                </w:rPr>
                <w:t>Implementation Science at Work</w:t>
              </w:r>
            </w:hyperlink>
            <w:r w:rsidR="006E7448" w:rsidRPr="006E7448">
              <w:rPr>
                <w:rFonts w:cs="Open Sans"/>
              </w:rPr>
              <w:t xml:space="preserve">,” uses an audio format to weave stories from multiple perspectives with an equity lens. These episodes bring in community agents and field and national academic perspectives to shape their narrative. Episodes have addressed </w:t>
            </w:r>
            <w:hyperlink r:id="rId16" w:history="1">
              <w:r w:rsidR="006E7448" w:rsidRPr="006E7448">
                <w:rPr>
                  <w:rStyle w:val="Hyperlink"/>
                  <w:rFonts w:eastAsiaTheme="majorEastAsia" w:cs="Open Sans"/>
                </w:rPr>
                <w:t>community engagement</w:t>
              </w:r>
            </w:hyperlink>
            <w:r w:rsidR="006E7448" w:rsidRPr="006E7448">
              <w:rPr>
                <w:rFonts w:cs="Open Sans"/>
              </w:rPr>
              <w:t xml:space="preserve">, </w:t>
            </w:r>
            <w:hyperlink r:id="rId17" w:history="1">
              <w:r w:rsidR="006E7448" w:rsidRPr="006E7448">
                <w:rPr>
                  <w:rStyle w:val="Hyperlink"/>
                  <w:rFonts w:eastAsiaTheme="majorEastAsia" w:cs="Open Sans"/>
                </w:rPr>
                <w:t>equitable program adaptation into different community contexts</w:t>
              </w:r>
            </w:hyperlink>
            <w:r w:rsidR="006E7448" w:rsidRPr="006E7448">
              <w:rPr>
                <w:rFonts w:cs="Open Sans"/>
              </w:rPr>
              <w:t xml:space="preserve">, </w:t>
            </w:r>
            <w:hyperlink r:id="rId18" w:history="1">
              <w:r w:rsidR="006E7448" w:rsidRPr="006E7448">
                <w:rPr>
                  <w:rStyle w:val="Hyperlink"/>
                  <w:rFonts w:eastAsiaTheme="majorEastAsia" w:cs="Open Sans"/>
                </w:rPr>
                <w:t>fostering co-creation in a governmental system</w:t>
              </w:r>
            </w:hyperlink>
            <w:r w:rsidR="006E7448" w:rsidRPr="006E7448">
              <w:rPr>
                <w:rFonts w:cs="Open Sans"/>
              </w:rPr>
              <w:t xml:space="preserve">, </w:t>
            </w:r>
            <w:hyperlink r:id="rId19" w:history="1">
              <w:r w:rsidR="006E7448" w:rsidRPr="006E7448">
                <w:rPr>
                  <w:rStyle w:val="Hyperlink"/>
                  <w:rFonts w:eastAsiaTheme="majorEastAsia" w:cs="Open Sans"/>
                </w:rPr>
                <w:t>policy implementation</w:t>
              </w:r>
            </w:hyperlink>
            <w:r w:rsidR="006E7448" w:rsidRPr="006E7448">
              <w:rPr>
                <w:rStyle w:val="Hyperlink"/>
                <w:rFonts w:eastAsiaTheme="majorEastAsia" w:cs="Open Sans"/>
                <w:color w:val="000000" w:themeColor="text1"/>
              </w:rPr>
              <w:t>,</w:t>
            </w:r>
            <w:r w:rsidR="006E7448" w:rsidRPr="006E7448">
              <w:rPr>
                <w:rFonts w:cs="Open Sans"/>
              </w:rPr>
              <w:t xml:space="preserve"> and </w:t>
            </w:r>
            <w:hyperlink r:id="rId20" w:history="1">
              <w:r w:rsidR="006E7448" w:rsidRPr="006E7448">
                <w:rPr>
                  <w:rStyle w:val="Hyperlink"/>
                  <w:rFonts w:eastAsiaTheme="majorEastAsia" w:cs="Open Sans"/>
                </w:rPr>
                <w:t>program sustainability</w:t>
              </w:r>
            </w:hyperlink>
            <w:r w:rsidR="006E7448" w:rsidRPr="006E7448">
              <w:rPr>
                <w:rFonts w:cs="Open Sans"/>
              </w:rPr>
              <w:t>.</w:t>
            </w:r>
            <w:r w:rsidR="006E7448" w:rsidRPr="00194308">
              <w:rPr>
                <w:rFonts w:ascii="Libre Baskerville" w:hAnsi="Libre Baskerville" w:cs="Merriweather"/>
              </w:rPr>
              <w:t xml:space="preserve"> </w:t>
            </w:r>
          </w:p>
        </w:tc>
      </w:tr>
    </w:tbl>
    <w:p w14:paraId="30D2AAD8" w14:textId="77777777" w:rsidR="006E7448" w:rsidRPr="00D370E1" w:rsidRDefault="006E7448" w:rsidP="00646187"/>
    <w:p w14:paraId="4F1DAAD6" w14:textId="4D1AE6AD" w:rsidR="0011178C" w:rsidRPr="0011178C" w:rsidRDefault="006E7448" w:rsidP="0011178C">
      <w:r w:rsidRPr="00351150">
        <w:t>F</w:t>
      </w:r>
      <w:r w:rsidRPr="0011178C">
        <w:t xml:space="preserve">inally, these factors may combine to create a greater sense of collective agency (we can do it, together) and collective efficacy (we can do it, together) in the broader Triple P system network, which may increase sustainability. </w:t>
      </w:r>
    </w:p>
    <w:p w14:paraId="026A848D" w14:textId="1C106A1E" w:rsidR="0011178C" w:rsidRDefault="00131953" w:rsidP="0011178C">
      <w:r>
        <w:rPr>
          <w:rFonts w:eastAsia="Libre Baskerville"/>
          <w:noProof/>
        </w:rPr>
        <w:lastRenderedPageBreak/>
        <mc:AlternateContent>
          <mc:Choice Requires="wps">
            <w:drawing>
              <wp:anchor distT="0" distB="0" distL="114300" distR="274320" simplePos="0" relativeHeight="251664384" behindDoc="0" locked="0" layoutInCell="1" allowOverlap="0" wp14:anchorId="6E8380E2" wp14:editId="78C24B35">
                <wp:simplePos x="0" y="0"/>
                <wp:positionH relativeFrom="column">
                  <wp:posOffset>-416560</wp:posOffset>
                </wp:positionH>
                <wp:positionV relativeFrom="paragraph">
                  <wp:posOffset>222250</wp:posOffset>
                </wp:positionV>
                <wp:extent cx="1520190" cy="2348230"/>
                <wp:effectExtent l="0" t="0" r="16510" b="13970"/>
                <wp:wrapThrough wrapText="right">
                  <wp:wrapPolygon edited="0">
                    <wp:start x="0" y="0"/>
                    <wp:lineTo x="0" y="21612"/>
                    <wp:lineTo x="14436" y="21612"/>
                    <wp:lineTo x="14436" y="11215"/>
                    <wp:lineTo x="21654" y="10981"/>
                    <wp:lineTo x="21654" y="10631"/>
                    <wp:lineTo x="14436" y="9346"/>
                    <wp:lineTo x="14436" y="0"/>
                    <wp:lineTo x="0" y="0"/>
                  </wp:wrapPolygon>
                </wp:wrapThrough>
                <wp:docPr id="2040958186" name="Rectangle 3"/>
                <wp:cNvGraphicFramePr/>
                <a:graphic xmlns:a="http://schemas.openxmlformats.org/drawingml/2006/main">
                  <a:graphicData uri="http://schemas.microsoft.com/office/word/2010/wordprocessingShape">
                    <wps:wsp>
                      <wps:cNvSpPr/>
                      <wps:spPr>
                        <a:xfrm>
                          <a:off x="0" y="0"/>
                          <a:ext cx="1520190" cy="2348230"/>
                        </a:xfrm>
                        <a:prstGeom prst="rightArrowCallout">
                          <a:avLst>
                            <a:gd name="adj1" fmla="val 0"/>
                            <a:gd name="adj2" fmla="val 0"/>
                            <a:gd name="adj3" fmla="val 25000"/>
                            <a:gd name="adj4" fmla="val 64977"/>
                          </a:avLst>
                        </a:prstGeom>
                        <a:ln>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1B2E21AE" w14:textId="77777777" w:rsidR="00B32BBC" w:rsidRPr="00FF209C" w:rsidRDefault="00B32BBC" w:rsidP="00B32BBC">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53CEDEF6" w14:textId="77777777" w:rsidR="00B32BBC" w:rsidRPr="00FF209C" w:rsidRDefault="00B32BBC" w:rsidP="00B32BBC">
                            <w:pPr>
                              <w:pStyle w:val="FigureTitles"/>
                              <w:jc w:val="center"/>
                              <w:rPr>
                                <w:color w:val="002060"/>
                                <w:sz w:val="16"/>
                                <w:szCs w:val="16"/>
                                <w14:textOutline w14:w="12700" w14:cap="rnd" w14:cmpd="sng" w14:algn="ctr">
                                  <w14:noFill/>
                                  <w14:prstDash w14:val="solid"/>
                                  <w14:bevel/>
                                </w14:textOutline>
                              </w:rPr>
                            </w:pPr>
                          </w:p>
                          <w:p w14:paraId="3CAA97D8" w14:textId="4DA1D103" w:rsidR="00B32BBC" w:rsidRPr="00FF209C" w:rsidRDefault="00B32BBC" w:rsidP="00B32BBC">
                            <w:pPr>
                              <w:pStyle w:val="FigureTitles"/>
                              <w:rPr>
                                <w:b w:val="0"/>
                                <w:bCs w:val="0"/>
                                <w:color w:val="002060"/>
                                <w:sz w:val="16"/>
                                <w:szCs w:val="16"/>
                                <w14:textOutline w14:w="12700" w14:cap="rnd" w14:cmpd="sng" w14:algn="ctr">
                                  <w14:noFill/>
                                  <w14:prstDash w14:val="solid"/>
                                  <w14:bevel/>
                                </w14:textOutline>
                              </w:rPr>
                            </w:pPr>
                            <w:r w:rsidRPr="00FF209C">
                              <w:rPr>
                                <w:b w:val="0"/>
                                <w:bCs w:val="0"/>
                                <w:color w:val="002060"/>
                                <w:sz w:val="16"/>
                                <w:szCs w:val="16"/>
                                <w14:textOutline w14:w="12700" w14:cap="rnd" w14:cmpd="sng" w14:algn="ctr">
                                  <w14:noFill/>
                                  <w14:prstDash w14:val="solid"/>
                                  <w14:bevel/>
                                </w14:textOutline>
                              </w:rPr>
                              <w:t xml:space="preserve">Refer to </w:t>
                            </w:r>
                            <w:r w:rsidRPr="00FF209C">
                              <w:rPr>
                                <w:color w:val="002060"/>
                                <w:sz w:val="16"/>
                                <w:szCs w:val="16"/>
                                <w14:textOutline w14:w="12700" w14:cap="rnd" w14:cmpd="sng" w14:algn="ctr">
                                  <w14:noFill/>
                                  <w14:prstDash w14:val="solid"/>
                                  <w14:bevel/>
                                </w14:textOutline>
                              </w:rPr>
                              <w:t>Brief #</w:t>
                            </w:r>
                            <w:r w:rsidR="0011178C">
                              <w:rPr>
                                <w:color w:val="002060"/>
                                <w:sz w:val="16"/>
                                <w:szCs w:val="16"/>
                                <w14:textOutline w14:w="12700" w14:cap="rnd" w14:cmpd="sng" w14:algn="ctr">
                                  <w14:noFill/>
                                  <w14:prstDash w14:val="solid"/>
                                  <w14:bevel/>
                                </w14:textOutline>
                              </w:rPr>
                              <w:t>5</w:t>
                            </w:r>
                            <w:r w:rsidRPr="00FF209C">
                              <w:rPr>
                                <w:b w:val="0"/>
                                <w:bCs w:val="0"/>
                                <w:color w:val="002060"/>
                                <w:sz w:val="16"/>
                                <w:szCs w:val="16"/>
                                <w14:textOutline w14:w="12700" w14:cap="rnd" w14:cmpd="sng" w14:algn="ctr">
                                  <w14:noFill/>
                                  <w14:prstDash w14:val="solid"/>
                                  <w14:bevel/>
                                </w14:textOutline>
                              </w:rPr>
                              <w:t xml:space="preserve">: </w:t>
                            </w:r>
                            <w:r w:rsidR="0011178C">
                              <w:rPr>
                                <w:b w:val="0"/>
                                <w:bCs w:val="0"/>
                                <w:color w:val="002060"/>
                                <w:sz w:val="16"/>
                                <w:szCs w:val="16"/>
                                <w14:textOutline w14:w="12700" w14:cap="rnd" w14:cmpd="sng" w14:algn="ctr">
                                  <w14:noFill/>
                                  <w14:prstDash w14:val="solid"/>
                                  <w14:bevel/>
                                </w14:textOutline>
                              </w:rPr>
                              <w:t>Foundations of the ICTP Implementation Support Practice Model, section</w:t>
                            </w:r>
                            <w:r w:rsidRPr="00FF209C">
                              <w:rPr>
                                <w:b w:val="0"/>
                                <w:bCs w:val="0"/>
                                <w:color w:val="002060"/>
                                <w:sz w:val="16"/>
                                <w:szCs w:val="16"/>
                                <w14:textOutline w14:w="12700" w14:cap="rnd" w14:cmpd="sng" w14:algn="ctr">
                                  <w14:noFill/>
                                  <w14:prstDash w14:val="solid"/>
                                  <w14:bevel/>
                                </w14:textOutline>
                              </w:rPr>
                              <w:t xml:space="preserve"> </w:t>
                            </w:r>
                            <w:hyperlink r:id="rId21" w:history="1">
                              <w:r w:rsidR="0011178C" w:rsidRPr="006159D8">
                                <w:rPr>
                                  <w:rStyle w:val="Hyperlink"/>
                                  <w:sz w:val="16"/>
                                  <w:szCs w:val="16"/>
                                  <w14:textOutline w14:w="12700" w14:cap="rnd" w14:cmpd="sng" w14:algn="ctr">
                                    <w14:noFill/>
                                    <w14:prstDash w14:val="solid"/>
                                    <w14:bevel/>
                                  </w14:textOutline>
                                </w:rPr>
                                <w:t>Theoretical Underpinnings</w:t>
                              </w:r>
                            </w:hyperlink>
                            <w:r w:rsidR="006159D8">
                              <w:rPr>
                                <w:color w:val="002060"/>
                                <w:sz w:val="16"/>
                                <w:szCs w:val="16"/>
                                <w14:textOutline w14:w="12700" w14:cap="rnd" w14:cmpd="sng" w14:algn="ctr">
                                  <w14:noFill/>
                                  <w14:prstDash w14:val="solid"/>
                                  <w14:bevel/>
                                </w14:textOutline>
                              </w:rPr>
                              <w:t xml:space="preserve"> </w:t>
                            </w:r>
                            <w:r w:rsidR="006159D8" w:rsidRPr="006159D8">
                              <w:rPr>
                                <w:b w:val="0"/>
                                <w:bCs w:val="0"/>
                                <w:color w:val="002060"/>
                                <w:sz w:val="16"/>
                                <w:szCs w:val="16"/>
                                <w14:textOutline w14:w="12700" w14:cap="rnd" w14:cmpd="sng" w14:algn="ctr">
                                  <w14:noFill/>
                                  <w14:prstDash w14:val="solid"/>
                                  <w14:bevel/>
                                </w14:textOutline>
                              </w:rPr>
                              <w:t>to</w:t>
                            </w:r>
                            <w:r w:rsidR="006159D8">
                              <w:rPr>
                                <w:b w:val="0"/>
                                <w:bCs w:val="0"/>
                                <w:color w:val="002060"/>
                                <w:sz w:val="16"/>
                                <w:szCs w:val="16"/>
                                <w14:textOutline w14:w="12700" w14:cap="rnd" w14:cmpd="sng" w14:algn="ctr">
                                  <w14:noFill/>
                                  <w14:prstDash w14:val="solid"/>
                                  <w14:bevel/>
                                </w14:textOutline>
                              </w:rPr>
                              <w:t xml:space="preserve"> learn more on the Social Cognitive Theory in action: self-regulation.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8380E2" id="_x0000_s1027" type="#_x0000_t78" style="position:absolute;left:0;text-align:left;margin-left:-32.8pt;margin-top:17.5pt;width:119.7pt;height:184.9pt;z-index:251664384;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" o:allowoverlap="f" adj="14035,10800,16200,10800" fillcolor="white [3201]" strokecolor="#487b97 [3205]" strokeweight="1pt">
                <v:textbox inset=",7.2pt,,0">
                  <w:txbxContent>
                    <w:p w14:paraId="1B2E21AE" w14:textId="77777777" w:rsidR="00B32BBC" w:rsidRPr="00FF209C" w:rsidRDefault="00B32BBC" w:rsidP="00B32BBC">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53CEDEF6" w14:textId="77777777" w:rsidR="00B32BBC" w:rsidRPr="00FF209C" w:rsidRDefault="00B32BBC" w:rsidP="00B32BBC">
                      <w:pPr>
                        <w:pStyle w:val="FigureTitles"/>
                        <w:jc w:val="center"/>
                        <w:rPr>
                          <w:color w:val="002060"/>
                          <w:sz w:val="16"/>
                          <w:szCs w:val="16"/>
                          <w14:textOutline w14:w="12700" w14:cap="rnd" w14:cmpd="sng" w14:algn="ctr">
                            <w14:noFill/>
                            <w14:prstDash w14:val="solid"/>
                            <w14:bevel/>
                          </w14:textOutline>
                        </w:rPr>
                      </w:pPr>
                    </w:p>
                    <w:p w14:paraId="3CAA97D8" w14:textId="4DA1D103" w:rsidR="00B32BBC" w:rsidRPr="00FF209C" w:rsidRDefault="00B32BBC" w:rsidP="00B32BBC">
                      <w:pPr>
                        <w:pStyle w:val="FigureTitles"/>
                        <w:rPr>
                          <w:b w:val="0"/>
                          <w:bCs w:val="0"/>
                          <w:color w:val="002060"/>
                          <w:sz w:val="16"/>
                          <w:szCs w:val="16"/>
                          <w14:textOutline w14:w="12700" w14:cap="rnd" w14:cmpd="sng" w14:algn="ctr">
                            <w14:noFill/>
                            <w14:prstDash w14:val="solid"/>
                            <w14:bevel/>
                          </w14:textOutline>
                        </w:rPr>
                      </w:pPr>
                      <w:r w:rsidRPr="00FF209C">
                        <w:rPr>
                          <w:b w:val="0"/>
                          <w:bCs w:val="0"/>
                          <w:color w:val="002060"/>
                          <w:sz w:val="16"/>
                          <w:szCs w:val="16"/>
                          <w14:textOutline w14:w="12700" w14:cap="rnd" w14:cmpd="sng" w14:algn="ctr">
                            <w14:noFill/>
                            <w14:prstDash w14:val="solid"/>
                            <w14:bevel/>
                          </w14:textOutline>
                        </w:rPr>
                        <w:t xml:space="preserve">Refer to </w:t>
                      </w:r>
                      <w:r w:rsidRPr="00FF209C">
                        <w:rPr>
                          <w:color w:val="002060"/>
                          <w:sz w:val="16"/>
                          <w:szCs w:val="16"/>
                          <w14:textOutline w14:w="12700" w14:cap="rnd" w14:cmpd="sng" w14:algn="ctr">
                            <w14:noFill/>
                            <w14:prstDash w14:val="solid"/>
                            <w14:bevel/>
                          </w14:textOutline>
                        </w:rPr>
                        <w:t>Brief #</w:t>
                      </w:r>
                      <w:r w:rsidR="0011178C">
                        <w:rPr>
                          <w:color w:val="002060"/>
                          <w:sz w:val="16"/>
                          <w:szCs w:val="16"/>
                          <w14:textOutline w14:w="12700" w14:cap="rnd" w14:cmpd="sng" w14:algn="ctr">
                            <w14:noFill/>
                            <w14:prstDash w14:val="solid"/>
                            <w14:bevel/>
                          </w14:textOutline>
                        </w:rPr>
                        <w:t>5</w:t>
                      </w:r>
                      <w:r w:rsidRPr="00FF209C">
                        <w:rPr>
                          <w:b w:val="0"/>
                          <w:bCs w:val="0"/>
                          <w:color w:val="002060"/>
                          <w:sz w:val="16"/>
                          <w:szCs w:val="16"/>
                          <w14:textOutline w14:w="12700" w14:cap="rnd" w14:cmpd="sng" w14:algn="ctr">
                            <w14:noFill/>
                            <w14:prstDash w14:val="solid"/>
                            <w14:bevel/>
                          </w14:textOutline>
                        </w:rPr>
                        <w:t xml:space="preserve">: </w:t>
                      </w:r>
                      <w:r w:rsidR="0011178C">
                        <w:rPr>
                          <w:b w:val="0"/>
                          <w:bCs w:val="0"/>
                          <w:color w:val="002060"/>
                          <w:sz w:val="16"/>
                          <w:szCs w:val="16"/>
                          <w14:textOutline w14:w="12700" w14:cap="rnd" w14:cmpd="sng" w14:algn="ctr">
                            <w14:noFill/>
                            <w14:prstDash w14:val="solid"/>
                            <w14:bevel/>
                          </w14:textOutline>
                        </w:rPr>
                        <w:t>Foundations of the ICTP Implementation Support Practice Model, section</w:t>
                      </w:r>
                      <w:r w:rsidRPr="00FF209C">
                        <w:rPr>
                          <w:b w:val="0"/>
                          <w:bCs w:val="0"/>
                          <w:color w:val="002060"/>
                          <w:sz w:val="16"/>
                          <w:szCs w:val="16"/>
                          <w14:textOutline w14:w="12700" w14:cap="rnd" w14:cmpd="sng" w14:algn="ctr">
                            <w14:noFill/>
                            <w14:prstDash w14:val="solid"/>
                            <w14:bevel/>
                          </w14:textOutline>
                        </w:rPr>
                        <w:t xml:space="preserve"> </w:t>
                      </w:r>
                      <w:hyperlink r:id="rId22" w:history="1">
                        <w:r w:rsidR="0011178C" w:rsidRPr="006159D8">
                          <w:rPr>
                            <w:rStyle w:val="Hyperlink"/>
                            <w:sz w:val="16"/>
                            <w:szCs w:val="16"/>
                            <w14:textOutline w14:w="12700" w14:cap="rnd" w14:cmpd="sng" w14:algn="ctr">
                              <w14:noFill/>
                              <w14:prstDash w14:val="solid"/>
                              <w14:bevel/>
                            </w14:textOutline>
                          </w:rPr>
                          <w:t>Theoretical Underpinnings</w:t>
                        </w:r>
                      </w:hyperlink>
                      <w:r w:rsidR="006159D8">
                        <w:rPr>
                          <w:color w:val="002060"/>
                          <w:sz w:val="16"/>
                          <w:szCs w:val="16"/>
                          <w14:textOutline w14:w="12700" w14:cap="rnd" w14:cmpd="sng" w14:algn="ctr">
                            <w14:noFill/>
                            <w14:prstDash w14:val="solid"/>
                            <w14:bevel/>
                          </w14:textOutline>
                        </w:rPr>
                        <w:t xml:space="preserve"> </w:t>
                      </w:r>
                      <w:r w:rsidR="006159D8" w:rsidRPr="006159D8">
                        <w:rPr>
                          <w:b w:val="0"/>
                          <w:bCs w:val="0"/>
                          <w:color w:val="002060"/>
                          <w:sz w:val="16"/>
                          <w:szCs w:val="16"/>
                          <w14:textOutline w14:w="12700" w14:cap="rnd" w14:cmpd="sng" w14:algn="ctr">
                            <w14:noFill/>
                            <w14:prstDash w14:val="solid"/>
                            <w14:bevel/>
                          </w14:textOutline>
                        </w:rPr>
                        <w:t>to</w:t>
                      </w:r>
                      <w:r w:rsidR="006159D8">
                        <w:rPr>
                          <w:b w:val="0"/>
                          <w:bCs w:val="0"/>
                          <w:color w:val="002060"/>
                          <w:sz w:val="16"/>
                          <w:szCs w:val="16"/>
                          <w14:textOutline w14:w="12700" w14:cap="rnd" w14:cmpd="sng" w14:algn="ctr">
                            <w14:noFill/>
                            <w14:prstDash w14:val="solid"/>
                            <w14:bevel/>
                          </w14:textOutline>
                        </w:rPr>
                        <w:t xml:space="preserve"> learn more on the Social Cognitive Theory in action: self-regulation.</w:t>
                      </w:r>
                    </w:p>
                  </w:txbxContent>
                </v:textbox>
                <w10:wrap type="through" side="right"/>
              </v:shape>
            </w:pict>
          </mc:Fallback>
        </mc:AlternateContent>
      </w:r>
    </w:p>
    <w:p w14:paraId="36A071FE" w14:textId="57D350E0" w:rsidR="006E7448" w:rsidRPr="00351150" w:rsidRDefault="006E7448" w:rsidP="006E7448">
      <w:pPr>
        <w:rPr>
          <w:color w:val="202124"/>
          <w:shd w:val="clear" w:color="auto" w:fill="FFFFFF"/>
        </w:rPr>
      </w:pPr>
      <w:r w:rsidRPr="00351150">
        <w:t>ICTP media and networking efforts</w:t>
      </w:r>
      <w:r>
        <w:t xml:space="preserve"> are also informed by two other theories:</w:t>
      </w:r>
      <w:r w:rsidRPr="00351150">
        <w:t xml:space="preserve"> diffusion of innovation theory [</w:t>
      </w:r>
      <w:r>
        <w:t>3</w:t>
      </w:r>
      <w:r w:rsidRPr="00351150">
        <w:t>] and social network theory [</w:t>
      </w:r>
      <w:r>
        <w:t>4</w:t>
      </w:r>
      <w:r w:rsidRPr="00351150">
        <w:t>]</w:t>
      </w:r>
      <w:r>
        <w:t>.</w:t>
      </w:r>
      <w:r w:rsidRPr="00351150">
        <w:t xml:space="preserve"> </w:t>
      </w:r>
      <w:r w:rsidRPr="008023F9">
        <w:rPr>
          <w:i/>
          <w:iCs/>
          <w:color w:val="202124"/>
          <w:shd w:val="clear" w:color="auto" w:fill="FFFFFF"/>
        </w:rPr>
        <w:t>Diffusion of innovation theory</w:t>
      </w:r>
      <w:r w:rsidRPr="00351150">
        <w:rPr>
          <w:color w:val="202124"/>
          <w:shd w:val="clear" w:color="auto" w:fill="FFFFFF"/>
        </w:rPr>
        <w:t> describes the pattern and speed at which new ideas, practices, or products spread through a population. Leveraging interpersonal communication and network assets, including positive relationships between people (</w:t>
      </w:r>
      <w:r>
        <w:rPr>
          <w:color w:val="202124"/>
          <w:shd w:val="clear" w:color="auto" w:fill="FFFFFF"/>
        </w:rPr>
        <w:t>or “</w:t>
      </w:r>
      <w:r w:rsidRPr="00351150">
        <w:rPr>
          <w:color w:val="202124"/>
          <w:shd w:val="clear" w:color="auto" w:fill="FFFFFF"/>
        </w:rPr>
        <w:t>social capital</w:t>
      </w:r>
      <w:r>
        <w:rPr>
          <w:color w:val="202124"/>
          <w:shd w:val="clear" w:color="auto" w:fill="FFFFFF"/>
        </w:rPr>
        <w:t>”</w:t>
      </w:r>
      <w:r w:rsidRPr="00351150">
        <w:rPr>
          <w:color w:val="202124"/>
          <w:shd w:val="clear" w:color="auto" w:fill="FFFFFF"/>
        </w:rPr>
        <w:t>) [</w:t>
      </w:r>
      <w:r>
        <w:rPr>
          <w:color w:val="202124"/>
          <w:shd w:val="clear" w:color="auto" w:fill="FFFFFF"/>
        </w:rPr>
        <w:t>5</w:t>
      </w:r>
      <w:r w:rsidRPr="00351150">
        <w:rPr>
          <w:color w:val="202124"/>
          <w:shd w:val="clear" w:color="auto" w:fill="FFFFFF"/>
        </w:rPr>
        <w:t>], helps ensure the spread of new implementation approaches, knowledge</w:t>
      </w:r>
      <w:r>
        <w:rPr>
          <w:color w:val="202124"/>
          <w:shd w:val="clear" w:color="auto" w:fill="FFFFFF"/>
        </w:rPr>
        <w:t>,</w:t>
      </w:r>
      <w:r w:rsidRPr="00351150">
        <w:rPr>
          <w:color w:val="202124"/>
          <w:shd w:val="clear" w:color="auto" w:fill="FFFFFF"/>
        </w:rPr>
        <w:t xml:space="preserve"> and skills among peers. </w:t>
      </w:r>
    </w:p>
    <w:p w14:paraId="4441E834" w14:textId="77777777" w:rsidR="006E7448" w:rsidRPr="00351150" w:rsidRDefault="006E7448" w:rsidP="006E7448">
      <w:pPr>
        <w:rPr>
          <w:color w:val="202124"/>
          <w:shd w:val="clear" w:color="auto" w:fill="FFFFFF"/>
        </w:rPr>
      </w:pPr>
    </w:p>
    <w:p w14:paraId="748D440A" w14:textId="68DA7ED9" w:rsidR="00B06592" w:rsidRDefault="006E7448" w:rsidP="005E5A99">
      <w:pPr>
        <w:rPr>
          <w:color w:val="202124"/>
          <w:shd w:val="clear" w:color="auto" w:fill="FFFFFF"/>
        </w:rPr>
      </w:pPr>
      <w:r w:rsidRPr="00351150">
        <w:rPr>
          <w:color w:val="202124"/>
          <w:shd w:val="clear" w:color="auto" w:fill="FFFFFF"/>
        </w:rPr>
        <w:t xml:space="preserve">Similarly, </w:t>
      </w:r>
      <w:r w:rsidRPr="008023F9">
        <w:rPr>
          <w:i/>
          <w:iCs/>
          <w:color w:val="202124"/>
          <w:shd w:val="clear" w:color="auto" w:fill="FFFFFF"/>
        </w:rPr>
        <w:t>social network theory</w:t>
      </w:r>
      <w:r w:rsidRPr="00351150">
        <w:rPr>
          <w:color w:val="202124"/>
          <w:shd w:val="clear" w:color="auto" w:fill="FFFFFF"/>
        </w:rPr>
        <w:t> </w:t>
      </w:r>
      <w:r w:rsidRPr="00351150">
        <w:t>[</w:t>
      </w:r>
      <w:r>
        <w:t>4</w:t>
      </w:r>
      <w:r w:rsidRPr="00351150">
        <w:t xml:space="preserve">] </w:t>
      </w:r>
      <w:r w:rsidRPr="00351150">
        <w:rPr>
          <w:color w:val="202124"/>
          <w:shd w:val="clear" w:color="auto" w:fill="FFFFFF"/>
        </w:rPr>
        <w:t xml:space="preserve">focuses on the role of social relationships in transmitting information, channeling personal or media influence, and enabling attitudinal or behavioral change. This theory helps explain how relationships, seen through </w:t>
      </w:r>
      <w:r>
        <w:rPr>
          <w:color w:val="202124"/>
          <w:shd w:val="clear" w:color="auto" w:fill="FFFFFF"/>
        </w:rPr>
        <w:t>“</w:t>
      </w:r>
      <w:r w:rsidRPr="00351150">
        <w:rPr>
          <w:color w:val="202124"/>
          <w:shd w:val="clear" w:color="auto" w:fill="FFFFFF"/>
        </w:rPr>
        <w:t>network structures</w:t>
      </w:r>
      <w:r>
        <w:rPr>
          <w:color w:val="202124"/>
          <w:shd w:val="clear" w:color="auto" w:fill="FFFFFF"/>
        </w:rPr>
        <w:t>”</w:t>
      </w:r>
      <w:r w:rsidRPr="00351150">
        <w:rPr>
          <w:color w:val="202124"/>
          <w:shd w:val="clear" w:color="auto" w:fill="FFFFFF"/>
        </w:rPr>
        <w:t xml:space="preserve"> and metrics, facilitate </w:t>
      </w:r>
      <w:r>
        <w:rPr>
          <w:color w:val="202124"/>
          <w:shd w:val="clear" w:color="auto" w:fill="FFFFFF"/>
        </w:rPr>
        <w:t xml:space="preserve">the exchange of </w:t>
      </w:r>
      <w:r w:rsidRPr="00351150">
        <w:rPr>
          <w:color w:val="202124"/>
          <w:shd w:val="clear" w:color="auto" w:fill="FFFFFF"/>
        </w:rPr>
        <w:t>knowledge, advice</w:t>
      </w:r>
      <w:r>
        <w:rPr>
          <w:color w:val="202124"/>
          <w:shd w:val="clear" w:color="auto" w:fill="FFFFFF"/>
        </w:rPr>
        <w:t>,</w:t>
      </w:r>
      <w:r w:rsidRPr="00351150">
        <w:rPr>
          <w:color w:val="202124"/>
          <w:shd w:val="clear" w:color="auto" w:fill="FFFFFF"/>
        </w:rPr>
        <w:t xml:space="preserve"> and expertise among Triple P stakeholders</w:t>
      </w:r>
      <w:r>
        <w:rPr>
          <w:color w:val="202124"/>
          <w:shd w:val="clear" w:color="auto" w:fill="FFFFFF"/>
        </w:rPr>
        <w:t>—i</w:t>
      </w:r>
      <w:r w:rsidRPr="00351150">
        <w:rPr>
          <w:color w:val="202124"/>
          <w:shd w:val="clear" w:color="auto" w:fill="FFFFFF"/>
        </w:rPr>
        <w:t xml:space="preserve">n other words, how Triple P network members learn from </w:t>
      </w:r>
      <w:r>
        <w:rPr>
          <w:color w:val="202124"/>
          <w:shd w:val="clear" w:color="auto" w:fill="FFFFFF"/>
        </w:rPr>
        <w:t xml:space="preserve">and support </w:t>
      </w:r>
      <w:r w:rsidRPr="00351150">
        <w:rPr>
          <w:color w:val="202124"/>
          <w:shd w:val="clear" w:color="auto" w:fill="FFFFFF"/>
        </w:rPr>
        <w:t>each other in their implementation work. This aligns with our goal to “leverage existing professional networks to accelerate communication efforts and facilitate improved access to implementation support.”</w:t>
      </w:r>
      <w:r>
        <w:rPr>
          <w:color w:val="202124"/>
          <w:shd w:val="clear" w:color="auto" w:fill="FFFFFF"/>
        </w:rPr>
        <w:t xml:space="preserve"> </w:t>
      </w:r>
      <w:r w:rsidRPr="00CD43BE">
        <w:rPr>
          <w:b/>
          <w:bCs/>
          <w:color w:val="202124"/>
          <w:shd w:val="clear" w:color="auto" w:fill="FFFFFF"/>
        </w:rPr>
        <w:t>Box 9.2</w:t>
      </w:r>
      <w:r>
        <w:rPr>
          <w:color w:val="202124"/>
          <w:shd w:val="clear" w:color="auto" w:fill="FFFFFF"/>
        </w:rPr>
        <w:t xml:space="preserve"> illustrates how the North</w:t>
      </w:r>
      <w:r w:rsidRPr="00D65871">
        <w:rPr>
          <w:color w:val="202124"/>
          <w:shd w:val="clear" w:color="auto" w:fill="FFFFFF"/>
        </w:rPr>
        <w:t xml:space="preserve"> Carolina Triple P Learning Collaborative</w:t>
      </w:r>
      <w:r>
        <w:rPr>
          <w:color w:val="202124"/>
          <w:shd w:val="clear" w:color="auto" w:fill="FFFFFF"/>
        </w:rPr>
        <w:t xml:space="preserve"> leverages social relationships for information sharing and other purposes.</w:t>
      </w:r>
    </w:p>
    <w:p w14:paraId="7C443D4C" w14:textId="77777777" w:rsidR="00815A49" w:rsidRPr="005E5A99" w:rsidRDefault="00815A49" w:rsidP="005E5A99">
      <w:pPr>
        <w:rPr>
          <w:color w:val="202124"/>
          <w:shd w:val="clear" w:color="auto" w:fill="FFFFFF"/>
        </w:rPr>
      </w:pPr>
    </w:p>
    <w:tbl>
      <w:tblPr>
        <w:tblStyle w:val="TableGrid"/>
        <w:tblW w:w="0" w:type="auto"/>
        <w:tblCellSpacing w:w="20" w:type="dxa"/>
        <w:tblInd w:w="2107" w:type="dxa"/>
        <w:tblBorders>
          <w:top w:val="thinThickLargeGap" w:sz="24" w:space="0" w:color="20BEC7"/>
          <w:left w:val="thinThickLargeGap" w:sz="24" w:space="0" w:color="20BEC7"/>
          <w:bottom w:val="thickThinLargeGap" w:sz="24" w:space="0" w:color="20BEC7"/>
          <w:right w:val="thickThinLargeGap" w:sz="24" w:space="0" w:color="20BEC7"/>
          <w:insideH w:val="none" w:sz="0" w:space="0" w:color="auto"/>
          <w:insideV w:val="none" w:sz="0" w:space="0" w:color="auto"/>
        </w:tblBorders>
        <w:shd w:val="clear" w:color="auto" w:fill="FFFFFF" w:themeFill="background1"/>
        <w:tblLook w:val="04A0" w:firstRow="1" w:lastRow="0" w:firstColumn="1" w:lastColumn="0" w:noHBand="0" w:noVBand="1"/>
      </w:tblPr>
      <w:tblGrid>
        <w:gridCol w:w="7776"/>
      </w:tblGrid>
      <w:tr w:rsidR="00E405D0" w:rsidRPr="008A3F6A" w14:paraId="7FE604F5" w14:textId="77777777" w:rsidTr="00BD747A">
        <w:trPr>
          <w:tblCellSpacing w:w="20" w:type="dxa"/>
        </w:trPr>
        <w:tc>
          <w:tcPr>
            <w:tcW w:w="7696" w:type="dxa"/>
            <w:shd w:val="clear" w:color="auto" w:fill="FFFFFF" w:themeFill="background1"/>
          </w:tcPr>
          <w:p w14:paraId="03369BFA" w14:textId="610A8270" w:rsidR="00CD43BE" w:rsidRDefault="00CD43BE" w:rsidP="00CD43BE">
            <w:pPr>
              <w:pStyle w:val="BOXtitle"/>
              <w:ind w:left="0"/>
            </w:pPr>
            <w:r w:rsidRPr="004D30DC">
              <w:rPr>
                <w:rFonts w:eastAsia="Libre Baskerville"/>
              </w:rPr>
              <w:t xml:space="preserve">Box </w:t>
            </w:r>
            <w:r>
              <w:rPr>
                <w:rFonts w:eastAsia="Libre Baskerville"/>
              </w:rPr>
              <w:t>9</w:t>
            </w:r>
            <w:r w:rsidRPr="004D30DC">
              <w:rPr>
                <w:rFonts w:eastAsia="Libre Baskerville"/>
              </w:rPr>
              <w:t>.</w:t>
            </w:r>
            <w:r w:rsidRPr="00CD43BE">
              <w:rPr>
                <w:rFonts w:eastAsia="Libre Baskerville"/>
              </w:rPr>
              <w:t>2</w:t>
            </w:r>
            <w:r>
              <w:rPr>
                <w:rFonts w:eastAsia="Libre Baskerville"/>
              </w:rPr>
              <w:t xml:space="preserve"> </w:t>
            </w:r>
            <w:r w:rsidRPr="00CD43BE">
              <w:rPr>
                <w:rFonts w:eastAsia="Libre Baskerville"/>
                <w:b w:val="0"/>
                <w:bCs w:val="0"/>
              </w:rPr>
              <w:t>ICTP Case Example of</w:t>
            </w:r>
            <w:r w:rsidRPr="00257E69">
              <w:rPr>
                <w:rFonts w:eastAsia="Libre Baskerville"/>
              </w:rPr>
              <w:t xml:space="preserve"> </w:t>
            </w:r>
            <w:r w:rsidRPr="006E7448">
              <w:t xml:space="preserve">The North Carolina Triple P Learning Collaborative as a Network of Social Relationships to Transmit Information About Effective Implementation Practices </w:t>
            </w:r>
          </w:p>
          <w:p w14:paraId="4BDD7336" w14:textId="77777777" w:rsidR="00CD43BE" w:rsidRDefault="00CD43BE" w:rsidP="00CD43BE">
            <w:pPr>
              <w:pStyle w:val="BOXtitle"/>
              <w:ind w:left="0"/>
            </w:pPr>
          </w:p>
          <w:p w14:paraId="6A7DBF65" w14:textId="77777777" w:rsidR="00B06592" w:rsidRPr="00F31A34" w:rsidRDefault="00B06592" w:rsidP="00B06592">
            <w:pPr>
              <w:pStyle w:val="BOXbody"/>
            </w:pPr>
            <w:r w:rsidRPr="00F31A34">
              <w:t xml:space="preserve">The North Carolina Triple P Learning Collaborative (NCLC) leverages social relationships among the NCLC’s membership to </w:t>
            </w:r>
          </w:p>
          <w:p w14:paraId="7524854B" w14:textId="77777777" w:rsidR="00B06592" w:rsidRPr="00F31A34" w:rsidRDefault="00B06592">
            <w:pPr>
              <w:pStyle w:val="BOXbody"/>
              <w:numPr>
                <w:ilvl w:val="0"/>
                <w:numId w:val="11"/>
              </w:numPr>
            </w:pPr>
            <w:r w:rsidRPr="00F31A34">
              <w:t xml:space="preserve">share information about effective implementation practices, </w:t>
            </w:r>
          </w:p>
          <w:p w14:paraId="151A74E7" w14:textId="77777777" w:rsidR="00B06592" w:rsidRPr="00F31A34" w:rsidRDefault="00B06592">
            <w:pPr>
              <w:pStyle w:val="BOXbody"/>
              <w:numPr>
                <w:ilvl w:val="0"/>
                <w:numId w:val="11"/>
              </w:numPr>
            </w:pPr>
            <w:r w:rsidRPr="00F31A34">
              <w:t xml:space="preserve">collectively address concerns, </w:t>
            </w:r>
          </w:p>
          <w:p w14:paraId="33036F8D" w14:textId="77777777" w:rsidR="00B06592" w:rsidRPr="00F31A34" w:rsidRDefault="00B06592">
            <w:pPr>
              <w:pStyle w:val="BOXbody"/>
              <w:numPr>
                <w:ilvl w:val="0"/>
                <w:numId w:val="11"/>
              </w:numPr>
            </w:pPr>
            <w:r w:rsidRPr="00F31A34">
              <w:t xml:space="preserve">provide peer support, and ultimately </w:t>
            </w:r>
          </w:p>
          <w:p w14:paraId="25DB3F74" w14:textId="77777777" w:rsidR="00B06592" w:rsidRPr="00F31A34" w:rsidRDefault="00B06592">
            <w:pPr>
              <w:pStyle w:val="BOXbody"/>
              <w:numPr>
                <w:ilvl w:val="0"/>
                <w:numId w:val="11"/>
              </w:numPr>
            </w:pPr>
            <w:r w:rsidRPr="00F31A34">
              <w:t xml:space="preserve">influence attitude and behavior change toward effective implementation. </w:t>
            </w:r>
          </w:p>
          <w:p w14:paraId="671E06B3" w14:textId="77777777" w:rsidR="00B06592" w:rsidRPr="00F31A34" w:rsidRDefault="00B06592" w:rsidP="00B06592">
            <w:pPr>
              <w:pStyle w:val="BOXbody"/>
              <w:rPr>
                <w:rFonts w:ascii="Libre Baskerville" w:hAnsi="Libre Baskerville" w:cs="Merriweather"/>
              </w:rPr>
            </w:pPr>
          </w:p>
          <w:p w14:paraId="05F3FEC3" w14:textId="77777777" w:rsidR="00B06592" w:rsidRPr="00F31A34" w:rsidRDefault="00B06592" w:rsidP="00B06592">
            <w:pPr>
              <w:pStyle w:val="BOXbody"/>
            </w:pPr>
            <w:r w:rsidRPr="00F31A34">
              <w:t xml:space="preserve">A planning group co-creates agendas based on identified needs from the larger membership. Meetings typically have interactive sessions led by peers and members of the NC Triple P Support System. The sessions allow for peer-to-peer sharing and use facilitation techniques to maximize participant interactions and inclusion (e.g., small group discussions, </w:t>
            </w:r>
            <w:proofErr w:type="spellStart"/>
            <w:r w:rsidRPr="00F31A34">
              <w:t>jamboards</w:t>
            </w:r>
            <w:proofErr w:type="spellEnd"/>
            <w:r w:rsidRPr="00F31A34">
              <w:t>, role modeling, and more).</w:t>
            </w:r>
          </w:p>
          <w:p w14:paraId="7C812A5F" w14:textId="77777777" w:rsidR="00B06592" w:rsidRPr="00F31A34" w:rsidRDefault="00B06592" w:rsidP="00B06592">
            <w:pPr>
              <w:pStyle w:val="BOXbody"/>
            </w:pPr>
          </w:p>
          <w:p w14:paraId="1C9AF642" w14:textId="02436CCF" w:rsidR="00B06592" w:rsidRPr="008A3F6A" w:rsidRDefault="00B06592" w:rsidP="00B06592">
            <w:pPr>
              <w:ind w:left="165" w:right="72"/>
              <w:rPr>
                <w:rFonts w:ascii="Libre Baskerville" w:hAnsi="Libre Baskerville"/>
              </w:rPr>
            </w:pPr>
            <w:r w:rsidRPr="00F31A34">
              <w:t xml:space="preserve">A </w:t>
            </w:r>
            <w:r>
              <w:t>March 2023</w:t>
            </w:r>
            <w:r w:rsidRPr="00F31A34">
              <w:t xml:space="preserve"> learning collaborative meeting addressed </w:t>
            </w:r>
            <w:r w:rsidRPr="00104A98">
              <w:t>how to best serve rural populations</w:t>
            </w:r>
            <w:r w:rsidRPr="00FE2C4D">
              <w:t>.</w:t>
            </w:r>
            <w:r w:rsidRPr="00F31A34">
              <w:t xml:space="preserve"> NCLC members, placed in </w:t>
            </w:r>
            <w:r>
              <w:t>six</w:t>
            </w:r>
            <w:r w:rsidRPr="00F31A34">
              <w:t xml:space="preserve"> small groups, rotated around a room and responded to multiple prompts around issues such as how to address </w:t>
            </w:r>
            <w:r>
              <w:t>rural communities’</w:t>
            </w:r>
            <w:r w:rsidRPr="00F31A34">
              <w:t xml:space="preserve"> awareness and acceptability of Triple P. The groups recorded ideas on chart paper at each station. At the end of the session, ideas were discussed as a large group with a facilitator, </w:t>
            </w:r>
            <w:r>
              <w:t xml:space="preserve">and </w:t>
            </w:r>
            <w:r w:rsidRPr="00F31A34">
              <w:t>the notes were</w:t>
            </w:r>
            <w:r>
              <w:t xml:space="preserve"> later</w:t>
            </w:r>
            <w:r w:rsidRPr="00F31A34">
              <w:t xml:space="preserve"> shared and archived in a shared online platform.</w:t>
            </w:r>
          </w:p>
        </w:tc>
      </w:tr>
    </w:tbl>
    <w:p w14:paraId="1475A8FC" w14:textId="77777777" w:rsidR="006E7448" w:rsidRDefault="006E7448" w:rsidP="00B06592">
      <w:pPr>
        <w:ind w:left="0"/>
      </w:pPr>
    </w:p>
    <w:p w14:paraId="6F42819F" w14:textId="77777777" w:rsidR="001A5737" w:rsidRPr="00351150" w:rsidRDefault="001A5737" w:rsidP="001A5737">
      <w:r w:rsidRPr="00351150">
        <w:t xml:space="preserve">Mass communications </w:t>
      </w:r>
      <w:r>
        <w:t>are more</w:t>
      </w:r>
      <w:r w:rsidRPr="00351150">
        <w:t xml:space="preserve"> effective </w:t>
      </w:r>
      <w:r>
        <w:t>w</w:t>
      </w:r>
      <w:r w:rsidRPr="00351150">
        <w:t>hen community-based services are available and accessible and supportive policies are in place [</w:t>
      </w:r>
      <w:r>
        <w:t>6</w:t>
      </w:r>
      <w:r w:rsidRPr="00351150">
        <w:t xml:space="preserve">]. In the case of Triple P implementation support, this means that ICTP regional support teams, their counterparts in </w:t>
      </w:r>
      <w:r>
        <w:t>South Carolina</w:t>
      </w:r>
      <w:r w:rsidRPr="00351150">
        <w:t>, and ISP</w:t>
      </w:r>
      <w:r>
        <w:t>s</w:t>
      </w:r>
      <w:r w:rsidRPr="00351150">
        <w:t xml:space="preserve"> </w:t>
      </w:r>
      <w:r>
        <w:t>providing design and consultation support</w:t>
      </w:r>
      <w:r w:rsidRPr="00351150">
        <w:t xml:space="preserve"> play an invaluable role. Regional Triple P partners and broader system co-creation partners can turn to ISPs for support to put effective implementation practices</w:t>
      </w:r>
      <w:r>
        <w:t>—received through media, communications, and networking activities—</w:t>
      </w:r>
      <w:r w:rsidRPr="00351150">
        <w:t xml:space="preserve">into place within their unique contexts. Supportive Triple P implementation policies </w:t>
      </w:r>
      <w:r>
        <w:t xml:space="preserve">co-designed with ISPs and </w:t>
      </w:r>
      <w:r w:rsidRPr="00351150">
        <w:t xml:space="preserve">put in place by funders, policymakers, and administrators may also </w:t>
      </w:r>
      <w:r>
        <w:t>allow</w:t>
      </w:r>
      <w:r w:rsidRPr="00351150">
        <w:t xml:space="preserve"> regional Triple P and broader co-creation partners the time, incentives, and resources </w:t>
      </w:r>
      <w:r>
        <w:t>to</w:t>
      </w:r>
      <w:r w:rsidRPr="00351150">
        <w:t xml:space="preserve"> pursue and institutionalize effective implementation practices</w:t>
      </w:r>
      <w:r>
        <w:t>—received through these same means of communication—</w:t>
      </w:r>
      <w:r w:rsidRPr="00351150">
        <w:t>within their community or state initiatives.</w:t>
      </w:r>
    </w:p>
    <w:sectPr w:rsidR="001A5737" w:rsidRPr="00351150" w:rsidSect="00A87BBC">
      <w:headerReference w:type="default" r:id="rId23"/>
      <w:footerReference w:type="default" r:id="rId24"/>
      <w:pgSz w:w="12240" w:h="15840"/>
      <w:pgMar w:top="1413" w:right="1080" w:bottom="1829" w:left="1080" w:header="720" w:footer="792" w:gutter="0"/>
      <w:pgNumType w:start="4"/>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B5AC" w14:textId="77777777" w:rsidR="00030E32" w:rsidRDefault="00030E32" w:rsidP="005F3829">
      <w:r>
        <w:separator/>
      </w:r>
    </w:p>
  </w:endnote>
  <w:endnote w:type="continuationSeparator" w:id="0">
    <w:p w14:paraId="325B97A8" w14:textId="77777777" w:rsidR="00030E32" w:rsidRDefault="00030E32"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erriweather">
    <w:panose1 w:val="02000000000000000000"/>
    <w:charset w:val="4D"/>
    <w:family w:val="auto"/>
    <w:pitch w:val="variable"/>
    <w:sig w:usb0="20000207" w:usb1="00000002" w:usb2="00000000" w:usb3="00000000" w:csb0="00000197"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1E23967F" w14:textId="123084B1"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7F4852">
          <w:rPr>
            <w:rFonts w:eastAsia="Lato" w:cs="Open Sans"/>
            <w:color w:val="002060"/>
            <w:sz w:val="20"/>
            <w:szCs w:val="20"/>
          </w:rPr>
          <w:t xml:space="preserve">ICTP </w:t>
        </w:r>
        <w:r w:rsidR="00792BF6">
          <w:rPr>
            <w:rFonts w:eastAsia="Lato" w:cs="Open Sans"/>
            <w:color w:val="002060"/>
            <w:sz w:val="20"/>
            <w:szCs w:val="20"/>
          </w:rPr>
          <w:t>MEDIA AND NETWORKING ACTIVITIES</w:t>
        </w:r>
      </w:p>
      <w:p w14:paraId="56513DA8"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F30C" w14:textId="77777777" w:rsidR="00030E32" w:rsidRDefault="00030E32" w:rsidP="005F3829">
      <w:r>
        <w:separator/>
      </w:r>
    </w:p>
  </w:footnote>
  <w:footnote w:type="continuationSeparator" w:id="0">
    <w:p w14:paraId="0ED2E656" w14:textId="77777777" w:rsidR="00030E32" w:rsidRDefault="00030E32"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3D3" w14:textId="04C43ED1" w:rsidR="00C452BC" w:rsidRDefault="00C452BC">
    <w:pPr>
      <w:pStyle w:val="Header"/>
    </w:pPr>
    <w:r>
      <w:rPr>
        <w:noProof/>
      </w:rPr>
      <mc:AlternateContent>
        <mc:Choice Requires="wps">
          <w:drawing>
            <wp:anchor distT="0" distB="0" distL="114300" distR="114300" simplePos="0" relativeHeight="251659264" behindDoc="0" locked="0" layoutInCell="1" allowOverlap="1" wp14:anchorId="77AA90A5" wp14:editId="513E4AF3">
              <wp:simplePos x="0" y="0"/>
              <wp:positionH relativeFrom="column">
                <wp:posOffset>0</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0160E6A" w14:textId="77777777" w:rsidR="00C452BC" w:rsidRDefault="00C452BC" w:rsidP="00C452BC">
                          <w:pPr>
                            <w:ind w:left="0"/>
                            <w:jc w:val="center"/>
                            <w:rPr>
                              <w:sz w:val="13"/>
                              <w:szCs w:val="13"/>
                            </w:rPr>
                          </w:pPr>
                          <w:r w:rsidRPr="0061580A">
                            <w:rPr>
                              <w:sz w:val="13"/>
                              <w:szCs w:val="13"/>
                            </w:rPr>
                            <w:t>BRIEF</w:t>
                          </w:r>
                        </w:p>
                        <w:p w14:paraId="3933AF5B" w14:textId="48F23A90" w:rsidR="00C452BC" w:rsidRDefault="00C452BC" w:rsidP="00C452BC">
                          <w:pPr>
                            <w:ind w:left="0"/>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77AA90A5" id="Rectangle 1" o:spid="_x0000_s1028" style="position:absolute;left:0;text-align:left;margin-left:0;margin-top:-34.05pt;width:40.05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" fillcolor="#384975" stroked="f" strokeweight="1pt">
              <v:textbox>
                <w:txbxContent>
                  <w:p w14:paraId="10160E6A" w14:textId="77777777" w:rsidR="00C452BC" w:rsidRDefault="00C452BC" w:rsidP="00C452BC">
                    <w:pPr>
                      <w:ind w:left="0"/>
                      <w:jc w:val="center"/>
                      <w:rPr>
                        <w:sz w:val="13"/>
                        <w:szCs w:val="13"/>
                      </w:rPr>
                    </w:pPr>
                    <w:r w:rsidRPr="0061580A">
                      <w:rPr>
                        <w:sz w:val="13"/>
                        <w:szCs w:val="13"/>
                      </w:rPr>
                      <w:t>BRIEF</w:t>
                    </w:r>
                  </w:p>
                  <w:p w14:paraId="3933AF5B" w14:textId="48F23A90" w:rsidR="00C452BC" w:rsidRDefault="00C452BC" w:rsidP="00C452BC">
                    <w:pPr>
                      <w:ind w:left="0"/>
                      <w:jc w:val="center"/>
                    </w:pPr>
                    <w:r>
                      <w:t>9</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FEF"/>
    <w:multiLevelType w:val="hybridMultilevel"/>
    <w:tmpl w:val="E18433E6"/>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09B34112"/>
    <w:multiLevelType w:val="hybridMultilevel"/>
    <w:tmpl w:val="1A68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86E9B"/>
    <w:multiLevelType w:val="hybridMultilevel"/>
    <w:tmpl w:val="0A04A3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AB50AF6"/>
    <w:multiLevelType w:val="hybridMultilevel"/>
    <w:tmpl w:val="2350FE54"/>
    <w:lvl w:ilvl="0" w:tplc="A736439C">
      <w:start w:val="1"/>
      <w:numFmt w:val="decimal"/>
      <w:pStyle w:val="Style1numbredbrief9"/>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155A07"/>
    <w:multiLevelType w:val="hybridMultilevel"/>
    <w:tmpl w:val="769CD5C2"/>
    <w:lvl w:ilvl="0" w:tplc="3148EE2E">
      <w:start w:val="1"/>
      <w:numFmt w:val="bullet"/>
      <w:pStyle w:val="calloutBoxBullet-SUB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93B4D"/>
    <w:multiLevelType w:val="hybridMultilevel"/>
    <w:tmpl w:val="4F76FA62"/>
    <w:lvl w:ilvl="0" w:tplc="04090003">
      <w:start w:val="1"/>
      <w:numFmt w:val="bullet"/>
      <w:lvlText w:val="o"/>
      <w:lvlJc w:val="left"/>
      <w:pPr>
        <w:ind w:left="885" w:hanging="360"/>
      </w:pPr>
      <w:rPr>
        <w:rFonts w:ascii="Courier New" w:hAnsi="Courier New" w:cs="Courier Ne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4E4A3E6B"/>
    <w:multiLevelType w:val="hybridMultilevel"/>
    <w:tmpl w:val="ECD691FA"/>
    <w:lvl w:ilvl="0" w:tplc="0409000F">
      <w:start w:val="1"/>
      <w:numFmt w:val="decimal"/>
      <w:lvlText w:val="%1."/>
      <w:lvlJc w:val="left"/>
      <w:pPr>
        <w:ind w:left="2880" w:hanging="360"/>
      </w:pPr>
      <w:rPr>
        <w:rFonts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1" w15:restartNumberingAfterBreak="0">
    <w:nsid w:val="4F7E67F3"/>
    <w:multiLevelType w:val="hybridMultilevel"/>
    <w:tmpl w:val="AD040BC6"/>
    <w:lvl w:ilvl="0" w:tplc="F034C14A">
      <w:start w:val="1"/>
      <w:numFmt w:val="decimal"/>
      <w:pStyle w:val="referenceBody"/>
      <w:lvlText w:val="[%1]"/>
      <w:lvlJc w:val="left"/>
      <w:pPr>
        <w:ind w:left="1620" w:hanging="360"/>
      </w:pPr>
      <w:rPr>
        <w:rFonts w:asciiTheme="minorHAnsi" w:hAnsiTheme="minorHAnsi" w:cstheme="minorHAnsi" w:hint="default"/>
        <w:b w:val="0"/>
        <w:bCs w:val="0"/>
        <w:color w:val="auto"/>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2"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B14D1F"/>
    <w:multiLevelType w:val="hybridMultilevel"/>
    <w:tmpl w:val="802468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EA0715"/>
    <w:multiLevelType w:val="hybridMultilevel"/>
    <w:tmpl w:val="CC6CFA3C"/>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CD921B2"/>
    <w:multiLevelType w:val="hybridMultilevel"/>
    <w:tmpl w:val="9E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215D3"/>
    <w:multiLevelType w:val="hybridMultilevel"/>
    <w:tmpl w:val="710672B6"/>
    <w:lvl w:ilvl="0" w:tplc="5338FD58">
      <w:start w:val="1"/>
      <w:numFmt w:val="bullet"/>
      <w:pStyle w:val="BOXbodybullets"/>
      <w:lvlText w:val="o"/>
      <w:lvlJc w:val="left"/>
      <w:pPr>
        <w:ind w:left="885" w:hanging="360"/>
      </w:pPr>
      <w:rPr>
        <w:rFonts w:ascii="Courier New" w:hAnsi="Courier New" w:cs="Courier Ne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0" w15:restartNumberingAfterBreak="0">
    <w:nsid w:val="7C051DF5"/>
    <w:multiLevelType w:val="hybridMultilevel"/>
    <w:tmpl w:val="F0660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63DCD"/>
    <w:multiLevelType w:val="hybridMultilevel"/>
    <w:tmpl w:val="A8B46CE4"/>
    <w:lvl w:ilvl="0" w:tplc="D5E09DC2">
      <w:start w:val="1"/>
      <w:numFmt w:val="bullet"/>
      <w:pStyle w:val="ListBulletSUB"/>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6877472">
    <w:abstractNumId w:val="18"/>
  </w:num>
  <w:num w:numId="2" w16cid:durableId="1573924017">
    <w:abstractNumId w:val="5"/>
  </w:num>
  <w:num w:numId="3" w16cid:durableId="442841348">
    <w:abstractNumId w:val="16"/>
  </w:num>
  <w:num w:numId="4" w16cid:durableId="1473205752">
    <w:abstractNumId w:val="8"/>
  </w:num>
  <w:num w:numId="5" w16cid:durableId="2119593424">
    <w:abstractNumId w:val="2"/>
  </w:num>
  <w:num w:numId="6" w16cid:durableId="1026907260">
    <w:abstractNumId w:val="15"/>
  </w:num>
  <w:num w:numId="7" w16cid:durableId="1047148661">
    <w:abstractNumId w:val="12"/>
  </w:num>
  <w:num w:numId="8" w16cid:durableId="212930219">
    <w:abstractNumId w:val="7"/>
  </w:num>
  <w:num w:numId="9" w16cid:durableId="669405057">
    <w:abstractNumId w:val="21"/>
  </w:num>
  <w:num w:numId="10" w16cid:durableId="708576956">
    <w:abstractNumId w:val="4"/>
  </w:num>
  <w:num w:numId="11" w16cid:durableId="532577533">
    <w:abstractNumId w:val="9"/>
  </w:num>
  <w:num w:numId="12" w16cid:durableId="1159737243">
    <w:abstractNumId w:val="0"/>
  </w:num>
  <w:num w:numId="13" w16cid:durableId="9912300">
    <w:abstractNumId w:val="19"/>
  </w:num>
  <w:num w:numId="14" w16cid:durableId="761993782">
    <w:abstractNumId w:val="11"/>
  </w:num>
  <w:num w:numId="15" w16cid:durableId="409929883">
    <w:abstractNumId w:val="6"/>
  </w:num>
  <w:num w:numId="16" w16cid:durableId="1262839864">
    <w:abstractNumId w:val="1"/>
  </w:num>
  <w:num w:numId="17" w16cid:durableId="107504979">
    <w:abstractNumId w:val="17"/>
  </w:num>
  <w:num w:numId="18" w16cid:durableId="753627256">
    <w:abstractNumId w:val="20"/>
  </w:num>
  <w:num w:numId="19" w16cid:durableId="1144351689">
    <w:abstractNumId w:val="13"/>
  </w:num>
  <w:num w:numId="20" w16cid:durableId="1512797604">
    <w:abstractNumId w:val="14"/>
  </w:num>
  <w:num w:numId="21" w16cid:durableId="550070249">
    <w:abstractNumId w:val="3"/>
  </w:num>
  <w:num w:numId="22" w16cid:durableId="126900323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90"/>
    <w:rsid w:val="00001A3C"/>
    <w:rsid w:val="0000345F"/>
    <w:rsid w:val="00021BA9"/>
    <w:rsid w:val="00024A9D"/>
    <w:rsid w:val="00025CFB"/>
    <w:rsid w:val="00030E32"/>
    <w:rsid w:val="00035F7D"/>
    <w:rsid w:val="00041161"/>
    <w:rsid w:val="000436C9"/>
    <w:rsid w:val="00065645"/>
    <w:rsid w:val="00065881"/>
    <w:rsid w:val="00071496"/>
    <w:rsid w:val="00077C9B"/>
    <w:rsid w:val="00081BE1"/>
    <w:rsid w:val="00086FED"/>
    <w:rsid w:val="00091485"/>
    <w:rsid w:val="000935D4"/>
    <w:rsid w:val="000A0D7C"/>
    <w:rsid w:val="000A65A5"/>
    <w:rsid w:val="000B5263"/>
    <w:rsid w:val="000D1724"/>
    <w:rsid w:val="000E0EA3"/>
    <w:rsid w:val="000F791B"/>
    <w:rsid w:val="00100ACF"/>
    <w:rsid w:val="00103DF4"/>
    <w:rsid w:val="00110010"/>
    <w:rsid w:val="0011178C"/>
    <w:rsid w:val="00127B18"/>
    <w:rsid w:val="00131953"/>
    <w:rsid w:val="00132045"/>
    <w:rsid w:val="00137C2C"/>
    <w:rsid w:val="00140E60"/>
    <w:rsid w:val="00152450"/>
    <w:rsid w:val="00156841"/>
    <w:rsid w:val="00162A26"/>
    <w:rsid w:val="00191650"/>
    <w:rsid w:val="001A122C"/>
    <w:rsid w:val="001A5737"/>
    <w:rsid w:val="001B3110"/>
    <w:rsid w:val="001B53EB"/>
    <w:rsid w:val="001C5AC8"/>
    <w:rsid w:val="001E06EC"/>
    <w:rsid w:val="001E43C5"/>
    <w:rsid w:val="001F4F1F"/>
    <w:rsid w:val="001F7E83"/>
    <w:rsid w:val="00207D35"/>
    <w:rsid w:val="002116F7"/>
    <w:rsid w:val="00214BDF"/>
    <w:rsid w:val="00230CAC"/>
    <w:rsid w:val="00245ACC"/>
    <w:rsid w:val="00265F66"/>
    <w:rsid w:val="00274EB0"/>
    <w:rsid w:val="002938A9"/>
    <w:rsid w:val="00297814"/>
    <w:rsid w:val="002A5798"/>
    <w:rsid w:val="002A7CD7"/>
    <w:rsid w:val="002A7D42"/>
    <w:rsid w:val="002C6515"/>
    <w:rsid w:val="002D2E15"/>
    <w:rsid w:val="002E0546"/>
    <w:rsid w:val="002E6E87"/>
    <w:rsid w:val="002F02AE"/>
    <w:rsid w:val="002F0BFC"/>
    <w:rsid w:val="002F3C1D"/>
    <w:rsid w:val="0031368E"/>
    <w:rsid w:val="0033373A"/>
    <w:rsid w:val="00345F29"/>
    <w:rsid w:val="0034610F"/>
    <w:rsid w:val="003562E9"/>
    <w:rsid w:val="00362DA3"/>
    <w:rsid w:val="00390120"/>
    <w:rsid w:val="003D45D3"/>
    <w:rsid w:val="003D5CEB"/>
    <w:rsid w:val="00400456"/>
    <w:rsid w:val="00405D10"/>
    <w:rsid w:val="00437681"/>
    <w:rsid w:val="00443169"/>
    <w:rsid w:val="00444995"/>
    <w:rsid w:val="004477B8"/>
    <w:rsid w:val="004477F0"/>
    <w:rsid w:val="004515BC"/>
    <w:rsid w:val="0045167A"/>
    <w:rsid w:val="004668B0"/>
    <w:rsid w:val="0047287D"/>
    <w:rsid w:val="00473E69"/>
    <w:rsid w:val="004836BB"/>
    <w:rsid w:val="0048504D"/>
    <w:rsid w:val="00495E90"/>
    <w:rsid w:val="004974C5"/>
    <w:rsid w:val="004A20EF"/>
    <w:rsid w:val="004A2489"/>
    <w:rsid w:val="004C7726"/>
    <w:rsid w:val="004C7BC2"/>
    <w:rsid w:val="004E3CDE"/>
    <w:rsid w:val="004E50F5"/>
    <w:rsid w:val="004E656A"/>
    <w:rsid w:val="004F1E39"/>
    <w:rsid w:val="004F3458"/>
    <w:rsid w:val="004F4BE3"/>
    <w:rsid w:val="00500725"/>
    <w:rsid w:val="005041CD"/>
    <w:rsid w:val="00510884"/>
    <w:rsid w:val="00536F5E"/>
    <w:rsid w:val="00550E57"/>
    <w:rsid w:val="00561EFE"/>
    <w:rsid w:val="00562892"/>
    <w:rsid w:val="005655C2"/>
    <w:rsid w:val="00570D30"/>
    <w:rsid w:val="005835D8"/>
    <w:rsid w:val="00594461"/>
    <w:rsid w:val="00595E61"/>
    <w:rsid w:val="0059787D"/>
    <w:rsid w:val="005B308E"/>
    <w:rsid w:val="005B3C1A"/>
    <w:rsid w:val="005C1D29"/>
    <w:rsid w:val="005C6370"/>
    <w:rsid w:val="005C676B"/>
    <w:rsid w:val="005E0AFF"/>
    <w:rsid w:val="005E5A99"/>
    <w:rsid w:val="005F3829"/>
    <w:rsid w:val="006057C3"/>
    <w:rsid w:val="006159D8"/>
    <w:rsid w:val="00623929"/>
    <w:rsid w:val="00624933"/>
    <w:rsid w:val="00627CCD"/>
    <w:rsid w:val="0063477C"/>
    <w:rsid w:val="00640C20"/>
    <w:rsid w:val="00642B0D"/>
    <w:rsid w:val="00644942"/>
    <w:rsid w:val="00646187"/>
    <w:rsid w:val="006539AB"/>
    <w:rsid w:val="0066240F"/>
    <w:rsid w:val="006707EF"/>
    <w:rsid w:val="006758D5"/>
    <w:rsid w:val="00675E63"/>
    <w:rsid w:val="00695CC3"/>
    <w:rsid w:val="00695E8D"/>
    <w:rsid w:val="006A5B3F"/>
    <w:rsid w:val="006A6FAD"/>
    <w:rsid w:val="006B2C82"/>
    <w:rsid w:val="006C4379"/>
    <w:rsid w:val="006C5240"/>
    <w:rsid w:val="006D39A7"/>
    <w:rsid w:val="006D3D88"/>
    <w:rsid w:val="006E7448"/>
    <w:rsid w:val="006F2507"/>
    <w:rsid w:val="006F5AAA"/>
    <w:rsid w:val="006F5DDB"/>
    <w:rsid w:val="006F7AFB"/>
    <w:rsid w:val="00713065"/>
    <w:rsid w:val="0071347A"/>
    <w:rsid w:val="00726376"/>
    <w:rsid w:val="00735C42"/>
    <w:rsid w:val="00745E42"/>
    <w:rsid w:val="0076361D"/>
    <w:rsid w:val="00772A8A"/>
    <w:rsid w:val="00781718"/>
    <w:rsid w:val="00792BF6"/>
    <w:rsid w:val="007A0E11"/>
    <w:rsid w:val="007B02FD"/>
    <w:rsid w:val="007F4852"/>
    <w:rsid w:val="007F5A34"/>
    <w:rsid w:val="008050BF"/>
    <w:rsid w:val="00815A49"/>
    <w:rsid w:val="0082242D"/>
    <w:rsid w:val="00831AF9"/>
    <w:rsid w:val="00834F9B"/>
    <w:rsid w:val="00851604"/>
    <w:rsid w:val="00853C29"/>
    <w:rsid w:val="00856661"/>
    <w:rsid w:val="00873875"/>
    <w:rsid w:val="008A0824"/>
    <w:rsid w:val="008A1D51"/>
    <w:rsid w:val="008B76D1"/>
    <w:rsid w:val="008C22C4"/>
    <w:rsid w:val="008C29B5"/>
    <w:rsid w:val="008D7673"/>
    <w:rsid w:val="008E43E7"/>
    <w:rsid w:val="008F0C5F"/>
    <w:rsid w:val="008F12BB"/>
    <w:rsid w:val="008F52B4"/>
    <w:rsid w:val="0090628E"/>
    <w:rsid w:val="009112D9"/>
    <w:rsid w:val="00922170"/>
    <w:rsid w:val="00924435"/>
    <w:rsid w:val="00940359"/>
    <w:rsid w:val="00940BB8"/>
    <w:rsid w:val="00957688"/>
    <w:rsid w:val="00963B1C"/>
    <w:rsid w:val="009679D3"/>
    <w:rsid w:val="00972233"/>
    <w:rsid w:val="0097475F"/>
    <w:rsid w:val="00996BC5"/>
    <w:rsid w:val="009D007D"/>
    <w:rsid w:val="009D0D4B"/>
    <w:rsid w:val="009E6938"/>
    <w:rsid w:val="009F582C"/>
    <w:rsid w:val="00A041B2"/>
    <w:rsid w:val="00A25946"/>
    <w:rsid w:val="00A36CF7"/>
    <w:rsid w:val="00A36E8E"/>
    <w:rsid w:val="00A44581"/>
    <w:rsid w:val="00A519D9"/>
    <w:rsid w:val="00A87BBC"/>
    <w:rsid w:val="00A90EE2"/>
    <w:rsid w:val="00A97B53"/>
    <w:rsid w:val="00AA2423"/>
    <w:rsid w:val="00AA25E7"/>
    <w:rsid w:val="00AA3A35"/>
    <w:rsid w:val="00AB3577"/>
    <w:rsid w:val="00AC644E"/>
    <w:rsid w:val="00AC707E"/>
    <w:rsid w:val="00AD08C0"/>
    <w:rsid w:val="00AE5B78"/>
    <w:rsid w:val="00AE5F4D"/>
    <w:rsid w:val="00AE6A64"/>
    <w:rsid w:val="00AE7436"/>
    <w:rsid w:val="00AF1195"/>
    <w:rsid w:val="00AF1A5D"/>
    <w:rsid w:val="00AF4825"/>
    <w:rsid w:val="00B01A12"/>
    <w:rsid w:val="00B06592"/>
    <w:rsid w:val="00B14237"/>
    <w:rsid w:val="00B215A7"/>
    <w:rsid w:val="00B32BBC"/>
    <w:rsid w:val="00B53A89"/>
    <w:rsid w:val="00B55AD0"/>
    <w:rsid w:val="00B600B4"/>
    <w:rsid w:val="00B62991"/>
    <w:rsid w:val="00B661F5"/>
    <w:rsid w:val="00B85377"/>
    <w:rsid w:val="00BA019A"/>
    <w:rsid w:val="00BA1F88"/>
    <w:rsid w:val="00BA483A"/>
    <w:rsid w:val="00BC3F4A"/>
    <w:rsid w:val="00BC67E3"/>
    <w:rsid w:val="00BD49DA"/>
    <w:rsid w:val="00BD61AC"/>
    <w:rsid w:val="00BD747A"/>
    <w:rsid w:val="00BF485A"/>
    <w:rsid w:val="00C020A9"/>
    <w:rsid w:val="00C07174"/>
    <w:rsid w:val="00C07AA8"/>
    <w:rsid w:val="00C22C50"/>
    <w:rsid w:val="00C303CA"/>
    <w:rsid w:val="00C32ECA"/>
    <w:rsid w:val="00C452BC"/>
    <w:rsid w:val="00C52B65"/>
    <w:rsid w:val="00C55543"/>
    <w:rsid w:val="00C62567"/>
    <w:rsid w:val="00C64698"/>
    <w:rsid w:val="00C66CE8"/>
    <w:rsid w:val="00C81947"/>
    <w:rsid w:val="00C835EC"/>
    <w:rsid w:val="00C87435"/>
    <w:rsid w:val="00C90063"/>
    <w:rsid w:val="00C92E06"/>
    <w:rsid w:val="00C93290"/>
    <w:rsid w:val="00CB2CAB"/>
    <w:rsid w:val="00CB32A7"/>
    <w:rsid w:val="00CC4915"/>
    <w:rsid w:val="00CC5B8D"/>
    <w:rsid w:val="00CD0399"/>
    <w:rsid w:val="00CD0B6E"/>
    <w:rsid w:val="00CD43BE"/>
    <w:rsid w:val="00D0354C"/>
    <w:rsid w:val="00D06F1C"/>
    <w:rsid w:val="00D104E0"/>
    <w:rsid w:val="00D14A23"/>
    <w:rsid w:val="00D26B84"/>
    <w:rsid w:val="00D3556B"/>
    <w:rsid w:val="00D3777C"/>
    <w:rsid w:val="00D54EFD"/>
    <w:rsid w:val="00D679D1"/>
    <w:rsid w:val="00D87CDA"/>
    <w:rsid w:val="00D931CD"/>
    <w:rsid w:val="00DA0E12"/>
    <w:rsid w:val="00DA2551"/>
    <w:rsid w:val="00DB46ED"/>
    <w:rsid w:val="00DE0C0E"/>
    <w:rsid w:val="00E167B4"/>
    <w:rsid w:val="00E34815"/>
    <w:rsid w:val="00E401E6"/>
    <w:rsid w:val="00E405D0"/>
    <w:rsid w:val="00E448B1"/>
    <w:rsid w:val="00E4509A"/>
    <w:rsid w:val="00E510D4"/>
    <w:rsid w:val="00E9738A"/>
    <w:rsid w:val="00EA18E3"/>
    <w:rsid w:val="00EA3627"/>
    <w:rsid w:val="00ED7F6F"/>
    <w:rsid w:val="00EE409A"/>
    <w:rsid w:val="00EF0823"/>
    <w:rsid w:val="00EF5222"/>
    <w:rsid w:val="00EF6C8D"/>
    <w:rsid w:val="00F1585E"/>
    <w:rsid w:val="00F25674"/>
    <w:rsid w:val="00F3351E"/>
    <w:rsid w:val="00F44508"/>
    <w:rsid w:val="00F46C61"/>
    <w:rsid w:val="00F64FFA"/>
    <w:rsid w:val="00F75B7F"/>
    <w:rsid w:val="00F81167"/>
    <w:rsid w:val="00F85157"/>
    <w:rsid w:val="00FB156A"/>
    <w:rsid w:val="00FB4014"/>
    <w:rsid w:val="00FC4795"/>
    <w:rsid w:val="00FC6403"/>
    <w:rsid w:val="00FC7651"/>
    <w:rsid w:val="00FC7998"/>
    <w:rsid w:val="00FE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66E3F"/>
  <w15:chartTrackingRefBased/>
  <w15:docId w15:val="{640CA4E4-C86A-BF4D-A4A9-F691EBB6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D0"/>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B600B4"/>
    <w:pPr>
      <w:tabs>
        <w:tab w:val="left" w:pos="8190"/>
      </w:tabs>
      <w:spacing w:before="240" w:after="240"/>
      <w:ind w:right="216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4"/>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2"/>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B600B4"/>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3"/>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5"/>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152450"/>
    <w:pPr>
      <w:tabs>
        <w:tab w:val="center" w:pos="4680"/>
        <w:tab w:val="right" w:pos="9360"/>
      </w:tabs>
    </w:pPr>
  </w:style>
  <w:style w:type="character" w:customStyle="1" w:styleId="HeaderChar">
    <w:name w:val="Header Char"/>
    <w:basedOn w:val="DefaultParagraphFont"/>
    <w:link w:val="Header"/>
    <w:uiPriority w:val="99"/>
    <w:rsid w:val="0015245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Open Sans" w:eastAsia="Times New Roman" w:hAnsi="Open Sans" w:cs="Times New Roman"/>
      <w:color w:val="auto"/>
      <w:sz w:val="20"/>
      <w:szCs w:val="20"/>
      <w:lang w:eastAsia="en-US"/>
    </w:rPr>
  </w:style>
  <w:style w:type="character" w:customStyle="1" w:styleId="normaltextrun">
    <w:name w:val="normaltextrun"/>
    <w:basedOn w:val="DefaultParagraphFont"/>
    <w:rsid w:val="00001A3C"/>
  </w:style>
  <w:style w:type="table" w:styleId="ListTable4-Accent1">
    <w:name w:val="List Table 4 Accent 1"/>
    <w:basedOn w:val="TableNormal"/>
    <w:uiPriority w:val="49"/>
    <w:rsid w:val="004A2489"/>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paragraph" w:customStyle="1" w:styleId="paragraph">
    <w:name w:val="paragraph"/>
    <w:basedOn w:val="Normal"/>
    <w:rsid w:val="004A2489"/>
    <w:pPr>
      <w:spacing w:before="100" w:beforeAutospacing="1" w:after="100" w:afterAutospacing="1"/>
      <w:ind w:left="0"/>
    </w:pPr>
    <w:rPr>
      <w:rFonts w:ascii="Times New Roman" w:hAnsi="Times New Roman"/>
      <w:sz w:val="24"/>
      <w:szCs w:val="24"/>
    </w:rPr>
  </w:style>
  <w:style w:type="numbering" w:customStyle="1" w:styleId="CurrentList6">
    <w:name w:val="Current List6"/>
    <w:uiPriority w:val="99"/>
    <w:rsid w:val="00D3556B"/>
    <w:pPr>
      <w:numPr>
        <w:numId w:val="6"/>
      </w:numPr>
    </w:pPr>
  </w:style>
  <w:style w:type="numbering" w:customStyle="1" w:styleId="CurrentList10">
    <w:name w:val="Current List10"/>
    <w:uiPriority w:val="99"/>
    <w:rsid w:val="00D3556B"/>
    <w:pPr>
      <w:numPr>
        <w:numId w:val="7"/>
      </w:numPr>
    </w:pPr>
  </w:style>
  <w:style w:type="paragraph" w:customStyle="1" w:styleId="calloutBoxBullet-SUBbullet">
    <w:name w:val="callout Box Bullet-SUB bullet"/>
    <w:basedOn w:val="CallOutBoxBullets"/>
    <w:qFormat/>
    <w:rsid w:val="00E510D4"/>
    <w:pPr>
      <w:numPr>
        <w:numId w:val="8"/>
      </w:numPr>
      <w:ind w:left="336" w:hanging="180"/>
    </w:pPr>
    <w:rPr>
      <w:b w:val="0"/>
      <w:bCs w:val="0"/>
    </w:rPr>
  </w:style>
  <w:style w:type="paragraph" w:customStyle="1" w:styleId="ListBulletSUB">
    <w:name w:val="List Bullet SUB"/>
    <w:basedOn w:val="ListBullet"/>
    <w:qFormat/>
    <w:rsid w:val="00CD0B6E"/>
    <w:pPr>
      <w:numPr>
        <w:numId w:val="9"/>
      </w:numPr>
      <w:tabs>
        <w:tab w:val="clear" w:pos="2520"/>
        <w:tab w:val="left" w:pos="2610"/>
        <w:tab w:val="left" w:pos="2700"/>
      </w:tabs>
      <w:ind w:left="2790" w:hanging="180"/>
    </w:pPr>
  </w:style>
  <w:style w:type="character" w:customStyle="1" w:styleId="eop">
    <w:name w:val="eop"/>
    <w:basedOn w:val="DefaultParagraphFont"/>
    <w:rsid w:val="0082242D"/>
  </w:style>
  <w:style w:type="character" w:customStyle="1" w:styleId="cf01">
    <w:name w:val="cf01"/>
    <w:basedOn w:val="DefaultParagraphFont"/>
    <w:rsid w:val="00B215A7"/>
    <w:rPr>
      <w:rFonts w:ascii="Segoe UI" w:hAnsi="Segoe UI" w:cs="Segoe UI" w:hint="default"/>
      <w:sz w:val="18"/>
      <w:szCs w:val="18"/>
    </w:rPr>
  </w:style>
  <w:style w:type="character" w:customStyle="1" w:styleId="cf11">
    <w:name w:val="cf11"/>
    <w:basedOn w:val="DefaultParagraphFont"/>
    <w:rsid w:val="00B215A7"/>
    <w:rPr>
      <w:rFonts w:ascii="Segoe UI" w:hAnsi="Segoe UI" w:cs="Segoe UI" w:hint="default"/>
      <w:i/>
      <w:iCs/>
      <w:sz w:val="18"/>
      <w:szCs w:val="18"/>
    </w:rPr>
  </w:style>
  <w:style w:type="character" w:customStyle="1" w:styleId="cf21">
    <w:name w:val="cf21"/>
    <w:basedOn w:val="DefaultParagraphFont"/>
    <w:rsid w:val="00B215A7"/>
    <w:rPr>
      <w:rFonts w:ascii="Segoe UI" w:hAnsi="Segoe UI" w:cs="Segoe UI" w:hint="default"/>
      <w:sz w:val="18"/>
      <w:szCs w:val="18"/>
    </w:rPr>
  </w:style>
  <w:style w:type="character" w:customStyle="1" w:styleId="ui-provider">
    <w:name w:val="ui-provider"/>
    <w:basedOn w:val="DefaultParagraphFont"/>
    <w:rsid w:val="00B215A7"/>
  </w:style>
  <w:style w:type="paragraph" w:styleId="NormalWeb">
    <w:name w:val="Normal (Web)"/>
    <w:basedOn w:val="Normal"/>
    <w:uiPriority w:val="99"/>
    <w:unhideWhenUsed/>
    <w:rsid w:val="001A5737"/>
    <w:pPr>
      <w:spacing w:before="100" w:beforeAutospacing="1" w:after="100" w:afterAutospacing="1"/>
      <w:ind w:left="0"/>
    </w:pPr>
    <w:rPr>
      <w:rFonts w:ascii="Times New Roman" w:hAnsi="Times New Roman"/>
      <w:sz w:val="24"/>
      <w:szCs w:val="24"/>
    </w:rPr>
  </w:style>
  <w:style w:type="paragraph" w:customStyle="1" w:styleId="Style1numbredbrief9">
    <w:name w:val="Style1 numbred brief 9"/>
    <w:basedOn w:val="ListBullet"/>
    <w:qFormat/>
    <w:rsid w:val="005E0AFF"/>
    <w:pPr>
      <w:numPr>
        <w:numId w:val="10"/>
      </w:numPr>
      <w:ind w:left="2700" w:hanging="270"/>
    </w:pPr>
  </w:style>
  <w:style w:type="paragraph" w:customStyle="1" w:styleId="BOXtitle">
    <w:name w:val="BOX title"/>
    <w:basedOn w:val="Caption"/>
    <w:qFormat/>
    <w:rsid w:val="005E0AFF"/>
    <w:pPr>
      <w:ind w:left="165"/>
    </w:pPr>
    <w:rPr>
      <w:b/>
      <w:bCs/>
    </w:rPr>
  </w:style>
  <w:style w:type="paragraph" w:customStyle="1" w:styleId="BOXbody">
    <w:name w:val="BOX body"/>
    <w:basedOn w:val="Normal"/>
    <w:qFormat/>
    <w:rsid w:val="005E0AFF"/>
    <w:pPr>
      <w:ind w:left="165" w:right="72"/>
    </w:pPr>
  </w:style>
  <w:style w:type="paragraph" w:customStyle="1" w:styleId="BOXbodybullets">
    <w:name w:val="BOX body bullets"/>
    <w:basedOn w:val="BOXbody"/>
    <w:qFormat/>
    <w:rsid w:val="00CD43BE"/>
    <w:pPr>
      <w:numPr>
        <w:numId w:val="13"/>
      </w:numPr>
    </w:pPr>
  </w:style>
  <w:style w:type="paragraph" w:customStyle="1" w:styleId="referenceBody">
    <w:name w:val="reference Body"/>
    <w:basedOn w:val="ListParagraph"/>
    <w:qFormat/>
    <w:rsid w:val="00853C29"/>
    <w:pPr>
      <w:numPr>
        <w:numId w:val="14"/>
      </w:numPr>
      <w:spacing w:line="259" w:lineRule="auto"/>
      <w:ind w:left="446" w:hanging="446"/>
    </w:pPr>
    <w:rPr>
      <w:rFonts w:cs="Open Sans"/>
      <w:noProof/>
      <w:sz w:val="20"/>
      <w:szCs w:val="20"/>
    </w:rPr>
  </w:style>
  <w:style w:type="paragraph" w:customStyle="1" w:styleId="highlightCallout">
    <w:name w:val="highlight Callout"/>
    <w:basedOn w:val="Normal"/>
    <w:qFormat/>
    <w:rsid w:val="00E405D0"/>
    <w:pPr>
      <w:shd w:val="clear" w:color="auto" w:fill="EEF6FA"/>
    </w:pPr>
  </w:style>
  <w:style w:type="paragraph" w:customStyle="1" w:styleId="textAcknowledgement">
    <w:name w:val="textAcknowledgement"/>
    <w:basedOn w:val="Normal"/>
    <w:qFormat/>
    <w:rsid w:val="008B76D1"/>
    <w:rPr>
      <w:rFonts w:cstheme="minorHAnsi"/>
      <w:bCs/>
      <w:sz w:val="20"/>
      <w:szCs w:val="20"/>
    </w:rPr>
  </w:style>
  <w:style w:type="paragraph" w:customStyle="1" w:styleId="textAcknowledgementList">
    <w:name w:val="textAcknowledgementList"/>
    <w:basedOn w:val="ListBullet"/>
    <w:qFormat/>
    <w:rsid w:val="008B76D1"/>
    <w:pPr>
      <w:numPr>
        <w:numId w:val="15"/>
      </w:numPr>
      <w:tabs>
        <w:tab w:val="num" w:pos="360"/>
      </w:tabs>
      <w:ind w:left="2520" w:hanging="27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8252">
      <w:bodyDiv w:val="1"/>
      <w:marLeft w:val="0"/>
      <w:marRight w:val="0"/>
      <w:marTop w:val="0"/>
      <w:marBottom w:val="0"/>
      <w:divBdr>
        <w:top w:val="none" w:sz="0" w:space="0" w:color="auto"/>
        <w:left w:val="none" w:sz="0" w:space="0" w:color="auto"/>
        <w:bottom w:val="none" w:sz="0" w:space="0" w:color="auto"/>
        <w:right w:val="none" w:sz="0" w:space="0" w:color="auto"/>
      </w:divBdr>
    </w:div>
    <w:div w:id="523833532">
      <w:bodyDiv w:val="1"/>
      <w:marLeft w:val="0"/>
      <w:marRight w:val="0"/>
      <w:marTop w:val="0"/>
      <w:marBottom w:val="0"/>
      <w:divBdr>
        <w:top w:val="none" w:sz="0" w:space="0" w:color="auto"/>
        <w:left w:val="none" w:sz="0" w:space="0" w:color="auto"/>
        <w:bottom w:val="none" w:sz="0" w:space="0" w:color="auto"/>
        <w:right w:val="none" w:sz="0" w:space="0" w:color="auto"/>
      </w:divBdr>
    </w:div>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818181888">
      <w:bodyDiv w:val="1"/>
      <w:marLeft w:val="0"/>
      <w:marRight w:val="0"/>
      <w:marTop w:val="0"/>
      <w:marBottom w:val="0"/>
      <w:divBdr>
        <w:top w:val="none" w:sz="0" w:space="0" w:color="auto"/>
        <w:left w:val="none" w:sz="0" w:space="0" w:color="auto"/>
        <w:bottom w:val="none" w:sz="0" w:space="0" w:color="auto"/>
        <w:right w:val="none" w:sz="0" w:space="0" w:color="auto"/>
      </w:divBdr>
    </w:div>
    <w:div w:id="1890066775">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wp-content/uploads/theoreticalunderpinnings.docx" TargetMode="External"/><Relationship Id="rId13" Type="http://schemas.openxmlformats.org/officeDocument/2006/relationships/hyperlink" Target="https://mailchi.mp/email/implementeer-dec-2022" TargetMode="External"/><Relationship Id="rId18" Type="http://schemas.openxmlformats.org/officeDocument/2006/relationships/hyperlink" Target="https://impact.fpg.unc.edu/episode-3-hierarchy-co-creation-california-foster-care-syst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tp.fpg.unc.edu/wp-content/uploads/theoreticalunderpinnings.docx" TargetMode="External"/><Relationship Id="rId7" Type="http://schemas.openxmlformats.org/officeDocument/2006/relationships/endnotes" Target="endnotes.xml"/><Relationship Id="rId12" Type="http://schemas.openxmlformats.org/officeDocument/2006/relationships/hyperlink" Target="https://mailchi.mp/email/implementeer-march2023?e=%5bUNIQID%5d" TargetMode="External"/><Relationship Id="rId17" Type="http://schemas.openxmlformats.org/officeDocument/2006/relationships/hyperlink" Target="https://impact.fpg.unc.edu/episode-2-equity-implementation-field-fund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mpact.fpg.unc.edu/episode-1-community-engagement-implementation-practice" TargetMode="External"/><Relationship Id="rId20" Type="http://schemas.openxmlformats.org/officeDocument/2006/relationships/hyperlink" Target="https://impact.fpg.unc.edu/episode-5-planning-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act.fpg.unc.edu/implemente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mpact.fpg.unc.edu/implementation-science-work" TargetMode="External"/><Relationship Id="rId23" Type="http://schemas.openxmlformats.org/officeDocument/2006/relationships/header" Target="header1.xml"/><Relationship Id="rId10" Type="http://schemas.openxmlformats.org/officeDocument/2006/relationships/hyperlink" Target="https://ictp.fpg.unc.edu/wp-content/uploads/theoreticalunderpinnings.docx" TargetMode="External"/><Relationship Id="rId19" Type="http://schemas.openxmlformats.org/officeDocument/2006/relationships/hyperlink" Target="https://impact.fpg.unc.edu/episode-4-policy-implementation-creating-supportive-infrastructure-and-systems" TargetMode="External"/><Relationship Id="rId4" Type="http://schemas.openxmlformats.org/officeDocument/2006/relationships/settings" Target="settings.xml"/><Relationship Id="rId9" Type="http://schemas.openxmlformats.org/officeDocument/2006/relationships/hyperlink" Target="https://ictp.fpg.unc.edu/wp-content/uploads/theoreticalunderpinnings.docx" TargetMode="External"/><Relationship Id="rId14" Type="http://schemas.openxmlformats.org/officeDocument/2006/relationships/hyperlink" Target="https://mailchi.mp/email/implementeer-sept-2022-16539368" TargetMode="External"/><Relationship Id="rId22" Type="http://schemas.openxmlformats.org/officeDocument/2006/relationships/hyperlink" Target="https://ictp.fpg.unc.edu/wp-content/uploads/theoreticalunderpinnings.doc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7</cp:revision>
  <dcterms:created xsi:type="dcterms:W3CDTF">2024-06-10T19:44:00Z</dcterms:created>
  <dcterms:modified xsi:type="dcterms:W3CDTF">2024-06-17T18:06:00Z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