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6C5C" w14:textId="77777777" w:rsidR="000A4F46" w:rsidRPr="00A05617" w:rsidRDefault="000A4F46" w:rsidP="000A4F46">
      <w:pPr>
        <w:pStyle w:val="Heading2"/>
        <w:spacing w:before="240"/>
        <w:rPr>
          <w:rFonts w:cstheme="majorHAnsi"/>
        </w:rPr>
      </w:pPr>
      <w:r w:rsidRPr="00A05617">
        <w:rPr>
          <w:rFonts w:cstheme="majorHAnsi"/>
        </w:rPr>
        <w:t>Determining Readiness for Participation in ICTP Regional Implementation Support</w:t>
      </w:r>
    </w:p>
    <w:p w14:paraId="4613A903" w14:textId="06A3C631" w:rsidR="000A4F46" w:rsidRPr="00E2677E" w:rsidRDefault="000A4F46" w:rsidP="000A4F46">
      <w:r w:rsidRPr="00E2677E">
        <w:t xml:space="preserve">A major intended use of the ICTP practice model is to assist regional partners scaling the Triple P system of interventions in developing or improving implementation capacity and performance. This use of the practice model is grounded in five assumptions about regional and broader system partners’ readiness. These readiness factors are listed in Table </w:t>
      </w:r>
      <w:r>
        <w:t>6.</w:t>
      </w:r>
      <w:r w:rsidRPr="00E2677E">
        <w:t xml:space="preserve">1. Additionally, regional support participants must be able to agree to and follow through with the expectations laid out in the ICTP document </w:t>
      </w:r>
      <w:r w:rsidRPr="00E2677E">
        <w:rPr>
          <w:i/>
          <w:iCs/>
        </w:rPr>
        <w:t xml:space="preserve">Partnering With </w:t>
      </w:r>
      <w:r>
        <w:rPr>
          <w:i/>
          <w:iCs/>
        </w:rPr>
        <w:t>T</w:t>
      </w:r>
      <w:r w:rsidRPr="00E2677E">
        <w:rPr>
          <w:i/>
          <w:iCs/>
        </w:rPr>
        <w:t>he Impact Center at FPG’s Regional Support Team</w:t>
      </w:r>
      <w:r w:rsidRPr="00E2677E">
        <w:t xml:space="preserve">, located in </w:t>
      </w:r>
      <w:hyperlink r:id="rId8" w:history="1">
        <w:r w:rsidRPr="002453F0">
          <w:rPr>
            <w:rStyle w:val="Hyperlink"/>
          </w:rPr>
          <w:t>Appendix A</w:t>
        </w:r>
      </w:hyperlink>
      <w:r w:rsidRPr="00E2677E">
        <w:t xml:space="preserve">. </w:t>
      </w:r>
    </w:p>
    <w:p w14:paraId="7B47BCA4" w14:textId="77777777" w:rsidR="000A4F46" w:rsidRPr="00E2677E" w:rsidRDefault="000A4F46" w:rsidP="000A4F46"/>
    <w:p w14:paraId="0A1CD6A5" w14:textId="77777777" w:rsidR="000A4F46" w:rsidRPr="00E2677E" w:rsidRDefault="000A4F46" w:rsidP="000A4F46">
      <w:r w:rsidRPr="00E2677E">
        <w:t xml:space="preserve">Insufficient readiness related to one or more of the five factors in </w:t>
      </w:r>
      <w:r w:rsidRPr="00E31277">
        <w:rPr>
          <w:b/>
          <w:bCs/>
        </w:rPr>
        <w:t>Table 6.1</w:t>
      </w:r>
      <w:r w:rsidRPr="00E2677E">
        <w:t xml:space="preserve">, in and of itself, should </w:t>
      </w:r>
      <w:r w:rsidRPr="00E2677E">
        <w:rPr>
          <w:i/>
          <w:iCs/>
        </w:rPr>
        <w:t>not</w:t>
      </w:r>
      <w:r w:rsidRPr="00E2677E">
        <w:t xml:space="preserve"> preclude </w:t>
      </w:r>
      <w:r>
        <w:t xml:space="preserve">the provision of </w:t>
      </w:r>
      <w:r w:rsidRPr="00E2677E">
        <w:t xml:space="preserve">ICTP regional implementation support </w:t>
      </w:r>
      <w:r>
        <w:t xml:space="preserve">by </w:t>
      </w:r>
      <w:r w:rsidRPr="00E2677E">
        <w:t xml:space="preserve">ICTP implementation support practitioners (ISPs). </w:t>
      </w:r>
      <w:proofErr w:type="gramStart"/>
      <w:r w:rsidRPr="00E2677E">
        <w:t>In reality, readiness</w:t>
      </w:r>
      <w:proofErr w:type="gramEnd"/>
      <w:r w:rsidRPr="00E2677E">
        <w:t xml:space="preserve"> is a constantly changing contextual feature of implementation and scale-up activities, particularly across individuals and teams in organizational and system environments. </w:t>
      </w:r>
    </w:p>
    <w:p w14:paraId="0F631D2F" w14:textId="77777777" w:rsidR="000A4F46" w:rsidRPr="00E2677E" w:rsidRDefault="000A4F46" w:rsidP="000A4F46"/>
    <w:p w14:paraId="6863521D" w14:textId="670B5C6B" w:rsidR="000A4F46" w:rsidRDefault="000A4F46" w:rsidP="000A4F46">
      <w:r w:rsidRPr="00E2677E">
        <w:t xml:space="preserve">Although full partner readiness to engage with regional Triple P programmatic or implementation supports is ultimately not their responsibility, ICTP ISPs may use strategies to influence or contribute to regional readiness for engaging in ICTP implementation support. Several example strategies are listed in Table </w:t>
      </w:r>
      <w:r>
        <w:t>6.</w:t>
      </w:r>
      <w:r w:rsidRPr="00E2677E">
        <w:t>1. Using these, or similar, strategies may be necessary to move ICTP implementation support work forward in a variety of situations. Because some strategies may involve practice work outside of the regional level, ICTP ISPs working at different system levels (e.g., state vs. regional) may need to combine their efforts to be most effective.</w:t>
      </w:r>
    </w:p>
    <w:p w14:paraId="3204475C" w14:textId="4571FEFD" w:rsidR="008F52B4" w:rsidRDefault="008F52B4" w:rsidP="008F52B4"/>
    <w:p w14:paraId="1C30ABB7" w14:textId="77777777" w:rsidR="002453F0" w:rsidRDefault="002453F0">
      <w:pPr>
        <w:spacing w:after="200" w:line="312" w:lineRule="auto"/>
        <w:ind w:left="0"/>
        <w:rPr>
          <w:b/>
          <w:bCs/>
          <w:iCs/>
          <w:sz w:val="18"/>
          <w:szCs w:val="18"/>
        </w:rPr>
      </w:pPr>
      <w:r>
        <w:rPr>
          <w:b/>
          <w:bCs/>
        </w:rPr>
        <w:br w:type="page"/>
      </w:r>
    </w:p>
    <w:p w14:paraId="61A27C9D" w14:textId="6133D2F3" w:rsidR="000A4F46" w:rsidRDefault="000A4F46" w:rsidP="00366B4C">
      <w:pPr>
        <w:pStyle w:val="Caption"/>
      </w:pPr>
      <w:r w:rsidRPr="00366B4C">
        <w:rPr>
          <w:b/>
          <w:bCs/>
        </w:rPr>
        <w:lastRenderedPageBreak/>
        <w:t>Table 6.1</w:t>
      </w:r>
      <w:r w:rsidRPr="000A4F46">
        <w:t xml:space="preserve"> Key Readiness Factors for Engaging in ICTP Regional Implementation Support and Example ISP Strategies for Influencing Readines</w:t>
      </w:r>
      <w:r w:rsidR="00366B4C">
        <w:t>s</w:t>
      </w:r>
    </w:p>
    <w:p w14:paraId="03B591A8" w14:textId="38AB1637" w:rsidR="000A4F46" w:rsidRDefault="00E31277" w:rsidP="008F52B4">
      <w:r>
        <w:rPr>
          <w:rFonts w:eastAsia="Libre Baskerville"/>
          <w:noProof/>
        </w:rPr>
        <mc:AlternateContent>
          <mc:Choice Requires="wps">
            <w:drawing>
              <wp:anchor distT="0" distB="0" distL="114300" distR="274320" simplePos="0" relativeHeight="251701248" behindDoc="0" locked="0" layoutInCell="1" allowOverlap="0" wp14:anchorId="168005A3" wp14:editId="06233ACE">
                <wp:simplePos x="0" y="0"/>
                <wp:positionH relativeFrom="column">
                  <wp:posOffset>-468517</wp:posOffset>
                </wp:positionH>
                <wp:positionV relativeFrom="paragraph">
                  <wp:posOffset>1454672</wp:posOffset>
                </wp:positionV>
                <wp:extent cx="1556425" cy="2706986"/>
                <wp:effectExtent l="0" t="0" r="18415" b="11430"/>
                <wp:wrapNone/>
                <wp:docPr id="701512649" name="Rectangle 3"/>
                <wp:cNvGraphicFramePr/>
                <a:graphic xmlns:a="http://schemas.openxmlformats.org/drawingml/2006/main">
                  <a:graphicData uri="http://schemas.microsoft.com/office/word/2010/wordprocessingShape">
                    <wps:wsp>
                      <wps:cNvSpPr/>
                      <wps:spPr>
                        <a:xfrm>
                          <a:off x="0" y="0"/>
                          <a:ext cx="1556425" cy="2706986"/>
                        </a:xfrm>
                        <a:prstGeom prst="rightArrowCallout">
                          <a:avLst>
                            <a:gd name="adj1" fmla="val 0"/>
                            <a:gd name="adj2" fmla="val 0"/>
                            <a:gd name="adj3" fmla="val 25000"/>
                            <a:gd name="adj4" fmla="val 64977"/>
                          </a:avLst>
                        </a:pr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69DC3AB" w14:textId="77777777" w:rsidR="00E31277" w:rsidRPr="003B6635" w:rsidRDefault="00E31277" w:rsidP="00E3127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451B0567" w14:textId="6567BE13" w:rsidR="00E31277" w:rsidRPr="003B6635" w:rsidRDefault="001E7394" w:rsidP="00E3127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31277" w:rsidRPr="003B6635">
                              <w:rPr>
                                <w:b w:val="0"/>
                                <w:bCs w:val="0"/>
                                <w:color w:val="000000" w:themeColor="text1"/>
                                <w:sz w:val="16"/>
                                <w:szCs w:val="16"/>
                                <w14:textOutline w14:w="12700" w14:cap="rnd" w14:cmpd="sng" w14:algn="ctr">
                                  <w14:noFill/>
                                  <w14:prstDash w14:val="solid"/>
                                  <w14:bevel/>
                                </w14:textOutline>
                              </w:rPr>
                              <w:t xml:space="preserve"> </w:t>
                            </w:r>
                            <w:r w:rsidR="00E31277" w:rsidRPr="003B6635">
                              <w:rPr>
                                <w:color w:val="000000" w:themeColor="text1"/>
                                <w:sz w:val="16"/>
                                <w:szCs w:val="16"/>
                                <w14:textOutline w14:w="12700" w14:cap="rnd" w14:cmpd="sng" w14:algn="ctr">
                                  <w14:noFill/>
                                  <w14:prstDash w14:val="solid"/>
                                  <w14:bevel/>
                                </w14:textOutline>
                              </w:rPr>
                              <w:t>Brief #5</w:t>
                            </w:r>
                            <w:r w:rsidR="00E31277"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9" w:history="1">
                              <w:r w:rsidR="00E31277" w:rsidRPr="00AE1DC4">
                                <w:rPr>
                                  <w:rStyle w:val="Hyperlink"/>
                                  <w:sz w:val="16"/>
                                  <w:szCs w:val="16"/>
                                  <w14:textOutline w14:w="12700" w14:cap="rnd" w14:cmpd="sng" w14:algn="ctr">
                                    <w14:noFill/>
                                    <w14:prstDash w14:val="solid"/>
                                    <w14:bevel/>
                                  </w14:textOutline>
                                </w:rPr>
                                <w:t>Equity in Implementation Practice</w:t>
                              </w:r>
                            </w:hyperlink>
                            <w:r>
                              <w:rPr>
                                <w:rStyle w:val="Hyperlink"/>
                                <w:sz w:val="16"/>
                                <w:szCs w:val="16"/>
                                <w14:textOutline w14:w="12700" w14:cap="rnd" w14:cmpd="sng" w14:algn="ctr">
                                  <w14:noFill/>
                                  <w14:prstDash w14:val="solid"/>
                                  <w14:bevel/>
                                </w14:textOutline>
                              </w:rPr>
                              <w:t xml:space="preserve"> (docx) </w:t>
                            </w:r>
                            <w:r w:rsidR="00E31277"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005A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ectangle 3" o:spid="_x0000_s1026" type="#_x0000_t78" style="position:absolute;left:0;text-align:left;margin-left:-36.9pt;margin-top:114.55pt;width:122.55pt;height:213.15pt;z-index:25170124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" o:allowoverlap="f" adj="14035,10800,16200,10800" filled="f" strokecolor="#9f396b" strokeweight="1pt">
                <v:textbox inset=",7.2pt,,0">
                  <w:txbxContent>
                    <w:p w14:paraId="369DC3AB" w14:textId="77777777" w:rsidR="00E31277" w:rsidRPr="003B6635" w:rsidRDefault="00E31277" w:rsidP="00E31277">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451B0567" w14:textId="6567BE13" w:rsidR="00E31277" w:rsidRPr="003B6635" w:rsidRDefault="001E7394" w:rsidP="00E31277">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31277" w:rsidRPr="003B6635">
                        <w:rPr>
                          <w:b w:val="0"/>
                          <w:bCs w:val="0"/>
                          <w:color w:val="000000" w:themeColor="text1"/>
                          <w:sz w:val="16"/>
                          <w:szCs w:val="16"/>
                          <w14:textOutline w14:w="12700" w14:cap="rnd" w14:cmpd="sng" w14:algn="ctr">
                            <w14:noFill/>
                            <w14:prstDash w14:val="solid"/>
                            <w14:bevel/>
                          </w14:textOutline>
                        </w:rPr>
                        <w:t xml:space="preserve"> </w:t>
                      </w:r>
                      <w:r w:rsidR="00E31277" w:rsidRPr="003B6635">
                        <w:rPr>
                          <w:color w:val="000000" w:themeColor="text1"/>
                          <w:sz w:val="16"/>
                          <w:szCs w:val="16"/>
                          <w14:textOutline w14:w="12700" w14:cap="rnd" w14:cmpd="sng" w14:algn="ctr">
                            <w14:noFill/>
                            <w14:prstDash w14:val="solid"/>
                            <w14:bevel/>
                          </w14:textOutline>
                        </w:rPr>
                        <w:t>Brief #5</w:t>
                      </w:r>
                      <w:r w:rsidR="00E31277"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0" w:history="1">
                        <w:r w:rsidR="00E31277" w:rsidRPr="00AE1DC4">
                          <w:rPr>
                            <w:rStyle w:val="Hyperlink"/>
                            <w:sz w:val="16"/>
                            <w:szCs w:val="16"/>
                            <w14:textOutline w14:w="12700" w14:cap="rnd" w14:cmpd="sng" w14:algn="ctr">
                              <w14:noFill/>
                              <w14:prstDash w14:val="solid"/>
                              <w14:bevel/>
                            </w14:textOutline>
                          </w:rPr>
                          <w:t>Equity in Implementation Practice</w:t>
                        </w:r>
                      </w:hyperlink>
                      <w:r>
                        <w:rPr>
                          <w:rStyle w:val="Hyperlink"/>
                          <w:sz w:val="16"/>
                          <w:szCs w:val="16"/>
                          <w14:textOutline w14:w="12700" w14:cap="rnd" w14:cmpd="sng" w14:algn="ctr">
                            <w14:noFill/>
                            <w14:prstDash w14:val="solid"/>
                            <w14:bevel/>
                          </w14:textOutline>
                        </w:rPr>
                        <w:t xml:space="preserve"> (docx) </w:t>
                      </w:r>
                      <w:r w:rsidR="00E31277"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v:textbox>
              </v:shape>
            </w:pict>
          </mc:Fallback>
        </mc:AlternateContent>
      </w:r>
    </w:p>
    <w:tbl>
      <w:tblPr>
        <w:tblStyle w:val="GridTable5Dark-Accent2"/>
        <w:tblW w:w="7740" w:type="dxa"/>
        <w:tblInd w:w="161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tblGrid>
      <w:tr w:rsidR="00366B4C" w14:paraId="00D34B09" w14:textId="77777777" w:rsidTr="00366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nil"/>
            </w:tcBorders>
            <w:shd w:val="clear" w:color="auto" w:fill="0060AE"/>
          </w:tcPr>
          <w:p w14:paraId="28C03885" w14:textId="59CD226B" w:rsidR="00366B4C" w:rsidRPr="00366B4C" w:rsidRDefault="00366B4C" w:rsidP="00366B4C">
            <w:pPr>
              <w:pStyle w:val="TableHeaders"/>
              <w:rPr>
                <w:color w:val="FFFFFF" w:themeColor="background1"/>
              </w:rPr>
            </w:pPr>
            <w:r w:rsidRPr="00366B4C">
              <w:rPr>
                <w:color w:val="FFFFFF" w:themeColor="background1"/>
              </w:rPr>
              <w:t>Key Readiness Factors for Engaging in ICTP Regional Implementation Support</w:t>
            </w:r>
          </w:p>
        </w:tc>
        <w:tc>
          <w:tcPr>
            <w:tcW w:w="4770" w:type="dxa"/>
            <w:tcBorders>
              <w:bottom w:val="nil"/>
            </w:tcBorders>
            <w:shd w:val="clear" w:color="auto" w:fill="1A1863"/>
          </w:tcPr>
          <w:p w14:paraId="71450B66" w14:textId="2EC6E06A" w:rsidR="00366B4C" w:rsidRPr="00366B4C" w:rsidRDefault="00366B4C" w:rsidP="00366B4C">
            <w:pPr>
              <w:pStyle w:val="TableHeaders"/>
              <w:cnfStyle w:val="100000000000" w:firstRow="1" w:lastRow="0" w:firstColumn="0" w:lastColumn="0" w:oddVBand="0" w:evenVBand="0" w:oddHBand="0" w:evenHBand="0" w:firstRowFirstColumn="0" w:firstRowLastColumn="0" w:lastRowFirstColumn="0" w:lastRowLastColumn="0"/>
              <w:rPr>
                <w:color w:val="FFFFFF" w:themeColor="background1"/>
              </w:rPr>
            </w:pPr>
            <w:r w:rsidRPr="00366B4C">
              <w:rPr>
                <w:color w:val="FFFFFF" w:themeColor="background1"/>
              </w:rPr>
              <w:t>Example ISP Strategies for Influencing Readiness to Engage in ICTP Regional Implementation Support</w:t>
            </w:r>
          </w:p>
        </w:tc>
      </w:tr>
      <w:tr w:rsidR="00366B4C" w14:paraId="4BBCD8EB"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left w:val="none" w:sz="0" w:space="0" w:color="auto"/>
              <w:bottom w:val="single" w:sz="4" w:space="0" w:color="1A1863"/>
              <w:right w:val="nil"/>
            </w:tcBorders>
            <w:shd w:val="clear" w:color="auto" w:fill="EEF5FA"/>
            <w:vAlign w:val="center"/>
          </w:tcPr>
          <w:p w14:paraId="0D059C18" w14:textId="0E5F2607" w:rsidR="00366B4C" w:rsidRPr="00366B4C" w:rsidRDefault="00366B4C" w:rsidP="00366B4C">
            <w:pPr>
              <w:pStyle w:val="TableBody"/>
              <w:rPr>
                <w:b w:val="0"/>
                <w:bCs w:val="0"/>
              </w:rPr>
            </w:pPr>
            <w:r w:rsidRPr="00366B4C">
              <w:rPr>
                <w:b w:val="0"/>
                <w:bCs w:val="0"/>
              </w:rPr>
              <w:t xml:space="preserve">Regional and broader system partners invite Triple P </w:t>
            </w:r>
            <w:proofErr w:type="gramStart"/>
            <w:r w:rsidRPr="00366B4C">
              <w:rPr>
                <w:b w:val="0"/>
                <w:bCs w:val="0"/>
              </w:rPr>
              <w:t>programmatic</w:t>
            </w:r>
            <w:proofErr w:type="gramEnd"/>
            <w:r w:rsidRPr="00366B4C">
              <w:rPr>
                <w:b w:val="0"/>
                <w:bCs w:val="0"/>
              </w:rPr>
              <w:t xml:space="preserve"> and implementation supports to address identified community needs.</w:t>
            </w:r>
          </w:p>
        </w:tc>
        <w:tc>
          <w:tcPr>
            <w:tcW w:w="4770" w:type="dxa"/>
            <w:tcBorders>
              <w:left w:val="nil"/>
              <w:bottom w:val="single" w:sz="4" w:space="0" w:color="1A1863"/>
              <w:right w:val="nil"/>
            </w:tcBorders>
            <w:shd w:val="clear" w:color="auto" w:fill="FFFFFF" w:themeFill="background1"/>
          </w:tcPr>
          <w:p w14:paraId="3E957956" w14:textId="5F6C8504"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Support regional and broader system partners to</w:t>
            </w:r>
          </w:p>
          <w:p w14:paraId="075CBD79" w14:textId="77777777" w:rsidR="00366B4C" w:rsidRPr="00366B4C" w:rsidRDefault="00366B4C" w:rsidP="00366B4C">
            <w:pPr>
              <w:pStyle w:val="CallOutBoxBullets"/>
              <w:cnfStyle w:val="000000100000" w:firstRow="0" w:lastRow="0" w:firstColumn="0" w:lastColumn="0" w:oddVBand="0" w:evenVBand="0" w:oddHBand="1" w:evenHBand="0" w:firstRowFirstColumn="0" w:firstRowLastColumn="0" w:lastRowFirstColumn="0" w:lastRowLastColumn="0"/>
            </w:pPr>
            <w:r w:rsidRPr="00366B4C">
              <w:t xml:space="preserve">assess community needs and preferences related to parent and family support, and </w:t>
            </w:r>
          </w:p>
          <w:p w14:paraId="60DE5056" w14:textId="059C87B0" w:rsidR="00366B4C" w:rsidRPr="00366B4C" w:rsidRDefault="00366B4C" w:rsidP="00366B4C">
            <w:pPr>
              <w:pStyle w:val="CallOutBoxBullets"/>
              <w:cnfStyle w:val="000000100000" w:firstRow="0" w:lastRow="0" w:firstColumn="0" w:lastColumn="0" w:oddVBand="0" w:evenVBand="0" w:oddHBand="1" w:evenHBand="0" w:firstRowFirstColumn="0" w:firstRowLastColumn="0" w:lastRowFirstColumn="0" w:lastRowLastColumn="0"/>
            </w:pPr>
            <w:r w:rsidRPr="00366B4C">
              <w:t>engage community partners to explore the fit of Triple P for identified needs and preferences.</w:t>
            </w:r>
          </w:p>
        </w:tc>
      </w:tr>
      <w:tr w:rsidR="00366B4C" w14:paraId="28601C25" w14:textId="77777777" w:rsidTr="00366B4C">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26DA9BDE" w14:textId="234804EF" w:rsidR="00366B4C" w:rsidRPr="00366B4C" w:rsidRDefault="00366B4C" w:rsidP="00366B4C">
            <w:pPr>
              <w:pStyle w:val="TableBody"/>
              <w:rPr>
                <w:b w:val="0"/>
                <w:bCs w:val="0"/>
              </w:rPr>
            </w:pPr>
            <w:r w:rsidRPr="00366B4C">
              <w:rPr>
                <w:b w:val="0"/>
                <w:bCs w:val="0"/>
              </w:rPr>
              <w:t xml:space="preserve">Regional and broader system partners </w:t>
            </w:r>
            <w:proofErr w:type="gramStart"/>
            <w:r w:rsidRPr="00366B4C">
              <w:rPr>
                <w:b w:val="0"/>
                <w:bCs w:val="0"/>
              </w:rPr>
              <w:t>are able to</w:t>
            </w:r>
            <w:proofErr w:type="gramEnd"/>
            <w:r w:rsidRPr="00366B4C">
              <w:rPr>
                <w:b w:val="0"/>
                <w:bCs w:val="0"/>
              </w:rPr>
              <w:t xml:space="preserve"> resource Triple P programmatic and implementation activities in racially equitable ways at some level of scale within the region.</w:t>
            </w:r>
          </w:p>
        </w:tc>
        <w:tc>
          <w:tcPr>
            <w:tcW w:w="4770" w:type="dxa"/>
            <w:tcBorders>
              <w:top w:val="single" w:sz="4" w:space="0" w:color="1A1863"/>
              <w:left w:val="nil"/>
              <w:bottom w:val="single" w:sz="4" w:space="0" w:color="1A1863"/>
              <w:right w:val="nil"/>
            </w:tcBorders>
            <w:shd w:val="clear" w:color="auto" w:fill="FFFFFF" w:themeFill="background1"/>
          </w:tcPr>
          <w:p w14:paraId="084DF072" w14:textId="747F294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 xml:space="preserve">Support regional and broader system partners to identify or advocate for sufficient resources, such as funding, time, and personnel effort. </w:t>
            </w:r>
          </w:p>
          <w:p w14:paraId="310DECE7"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5E7E250C" w14:textId="6BAE4DC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Support regional and broader system partners to match the level of available resources with a proportionate level of scaling activities.</w:t>
            </w:r>
          </w:p>
        </w:tc>
      </w:tr>
      <w:tr w:rsidR="00366B4C" w14:paraId="3162230C"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0A2488AB" w14:textId="7A1F17AF" w:rsidR="00366B4C" w:rsidRPr="00366B4C" w:rsidRDefault="00366B4C" w:rsidP="00366B4C">
            <w:pPr>
              <w:pStyle w:val="TableBody"/>
              <w:rPr>
                <w:b w:val="0"/>
                <w:bCs w:val="0"/>
              </w:rPr>
            </w:pPr>
            <w:r w:rsidRPr="00366B4C">
              <w:rPr>
                <w:b w:val="0"/>
                <w:bCs w:val="0"/>
              </w:rPr>
              <w:t>Regional partners are willing and able to explore system performance improvements and related changes to their implementation practice behaviors and organizational policies, structures, and procedures.</w:t>
            </w:r>
          </w:p>
        </w:tc>
        <w:tc>
          <w:tcPr>
            <w:tcW w:w="4770" w:type="dxa"/>
            <w:tcBorders>
              <w:top w:val="single" w:sz="4" w:space="0" w:color="1A1863"/>
              <w:left w:val="nil"/>
              <w:bottom w:val="single" w:sz="4" w:space="0" w:color="1A1863"/>
              <w:right w:val="nil"/>
            </w:tcBorders>
            <w:shd w:val="clear" w:color="auto" w:fill="FFFFFF" w:themeFill="background1"/>
          </w:tcPr>
          <w:p w14:paraId="476768F1"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Use mixed-methods assessments to develop a shared understanding of regional strengths and needs related to implementation.</w:t>
            </w:r>
          </w:p>
          <w:p w14:paraId="6531CE00"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3D744AB0" w14:textId="42B8B7C8"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Engage current/potential regional partners with motivational interviewing strategies.</w:t>
            </w:r>
          </w:p>
        </w:tc>
      </w:tr>
      <w:tr w:rsidR="00366B4C" w14:paraId="789A0A1A" w14:textId="77777777" w:rsidTr="00366B4C">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left w:val="none" w:sz="0" w:space="0" w:color="auto"/>
              <w:bottom w:val="single" w:sz="4" w:space="0" w:color="1A1863"/>
              <w:right w:val="nil"/>
            </w:tcBorders>
            <w:shd w:val="clear" w:color="auto" w:fill="EEF5FA"/>
            <w:vAlign w:val="center"/>
          </w:tcPr>
          <w:p w14:paraId="1CE7466C" w14:textId="20393018" w:rsidR="00366B4C" w:rsidRPr="00366B4C" w:rsidRDefault="00366B4C" w:rsidP="00366B4C">
            <w:pPr>
              <w:pStyle w:val="TableBody"/>
              <w:rPr>
                <w:b w:val="0"/>
                <w:bCs w:val="0"/>
              </w:rPr>
            </w:pPr>
            <w:r w:rsidRPr="00366B4C">
              <w:rPr>
                <w:b w:val="0"/>
                <w:bCs w:val="0"/>
              </w:rPr>
              <w:t>Willing and capable leaders are continuously engaged to facilitate organizational and systems learning and improvement activities.</w:t>
            </w:r>
          </w:p>
        </w:tc>
        <w:tc>
          <w:tcPr>
            <w:tcW w:w="4770" w:type="dxa"/>
            <w:tcBorders>
              <w:top w:val="single" w:sz="4" w:space="0" w:color="1A1863"/>
              <w:left w:val="nil"/>
              <w:bottom w:val="single" w:sz="4" w:space="0" w:color="1A1863"/>
              <w:right w:val="nil"/>
            </w:tcBorders>
            <w:shd w:val="clear" w:color="auto" w:fill="FFFFFF" w:themeFill="background1"/>
          </w:tcPr>
          <w:p w14:paraId="34D48B57"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Work with current/potential regional partners to identify and engage needed leaders.</w:t>
            </w:r>
          </w:p>
          <w:p w14:paraId="58F25721"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6405749D"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Educate and advocate leadership involvement in regional implementation and scaling activities.</w:t>
            </w:r>
          </w:p>
          <w:p w14:paraId="40578CE4" w14:textId="77777777"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p>
          <w:p w14:paraId="71EBA807" w14:textId="79C4E935" w:rsidR="00366B4C" w:rsidRPr="00366B4C" w:rsidRDefault="00366B4C" w:rsidP="00366B4C">
            <w:pPr>
              <w:pStyle w:val="TableBody"/>
              <w:cnfStyle w:val="000000000000" w:firstRow="0" w:lastRow="0" w:firstColumn="0" w:lastColumn="0" w:oddVBand="0" w:evenVBand="0" w:oddHBand="0" w:evenHBand="0" w:firstRowFirstColumn="0" w:firstRowLastColumn="0" w:lastRowFirstColumn="0" w:lastRowLastColumn="0"/>
            </w:pPr>
            <w:r w:rsidRPr="00366B4C">
              <w:t>Engage regional leaders with motivational interviewing strategies.</w:t>
            </w:r>
          </w:p>
        </w:tc>
      </w:tr>
      <w:tr w:rsidR="00366B4C" w14:paraId="269505FF" w14:textId="77777777" w:rsidTr="0036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1A1863"/>
              <w:bottom w:val="single" w:sz="4" w:space="0" w:color="1A1863"/>
              <w:right w:val="nil"/>
            </w:tcBorders>
            <w:shd w:val="clear" w:color="auto" w:fill="EEF5FA"/>
            <w:vAlign w:val="center"/>
          </w:tcPr>
          <w:p w14:paraId="4A9CE6D5" w14:textId="1233830E" w:rsidR="00366B4C" w:rsidRPr="00366B4C" w:rsidRDefault="00366B4C" w:rsidP="00366B4C">
            <w:pPr>
              <w:pStyle w:val="TableBody"/>
              <w:rPr>
                <w:b w:val="0"/>
                <w:bCs w:val="0"/>
              </w:rPr>
            </w:pPr>
            <w:r w:rsidRPr="00366B4C">
              <w:rPr>
                <w:b w:val="0"/>
                <w:bCs w:val="0"/>
              </w:rPr>
              <w:t>Broader system partners (e.g., funders, policymakers, community members with lived experience) are willing and able to support change processes and engage in related co-creation efforts.</w:t>
            </w:r>
          </w:p>
        </w:tc>
        <w:tc>
          <w:tcPr>
            <w:tcW w:w="4770" w:type="dxa"/>
            <w:tcBorders>
              <w:top w:val="single" w:sz="4" w:space="0" w:color="1A1863"/>
              <w:left w:val="nil"/>
              <w:bottom w:val="single" w:sz="4" w:space="0" w:color="1A1863"/>
              <w:right w:val="nil"/>
            </w:tcBorders>
            <w:shd w:val="clear" w:color="auto" w:fill="FFFFFF" w:themeFill="background1"/>
          </w:tcPr>
          <w:p w14:paraId="5D3759AB"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Work with current/potential regional partners to identify and engage needed co-creation partners and processes.</w:t>
            </w:r>
          </w:p>
          <w:p w14:paraId="2F77EE0F"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26F46F5F"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Educate and advocate for broader system partner involvement in regional implementation and scaling activities.</w:t>
            </w:r>
          </w:p>
          <w:p w14:paraId="0A6152A7"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52AC7A8D"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 xml:space="preserve">Identify and acknowledge where partners have differing resources to engage in co-creation </w:t>
            </w:r>
            <w:r w:rsidRPr="00366B4C">
              <w:lastRenderedPageBreak/>
              <w:t xml:space="preserve">efforts and support change processes. </w:t>
            </w:r>
            <w:r w:rsidRPr="00EE2295">
              <w:rPr>
                <w:shd w:val="clear" w:color="auto" w:fill="EEF6FA"/>
              </w:rPr>
              <w:t>Advocate for equitable resources.</w:t>
            </w:r>
          </w:p>
          <w:p w14:paraId="3DE661AB" w14:textId="77777777"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p>
          <w:p w14:paraId="0050608F" w14:textId="4A3DACEB" w:rsidR="00366B4C" w:rsidRPr="00366B4C" w:rsidRDefault="00366B4C" w:rsidP="00366B4C">
            <w:pPr>
              <w:pStyle w:val="TableBody"/>
              <w:cnfStyle w:val="000000100000" w:firstRow="0" w:lastRow="0" w:firstColumn="0" w:lastColumn="0" w:oddVBand="0" w:evenVBand="0" w:oddHBand="1" w:evenHBand="0" w:firstRowFirstColumn="0" w:firstRowLastColumn="0" w:lastRowFirstColumn="0" w:lastRowLastColumn="0"/>
            </w:pPr>
            <w:r w:rsidRPr="00366B4C">
              <w:t>Engage co-creation partners with motivational interviewing strategies.</w:t>
            </w:r>
          </w:p>
        </w:tc>
      </w:tr>
    </w:tbl>
    <w:p w14:paraId="3D5F5326" w14:textId="1DC44073" w:rsidR="000A4F46" w:rsidRDefault="00EE2295" w:rsidP="008F52B4">
      <w:r>
        <w:rPr>
          <w:rFonts w:eastAsia="Libre Baskerville"/>
          <w:noProof/>
        </w:rPr>
        <w:lastRenderedPageBreak/>
        <mc:AlternateContent>
          <mc:Choice Requires="wps">
            <w:drawing>
              <wp:anchor distT="0" distB="0" distL="114300" distR="274320" simplePos="0" relativeHeight="251715584" behindDoc="0" locked="0" layoutInCell="1" allowOverlap="0" wp14:anchorId="7D6575BA" wp14:editId="16ABDA35">
                <wp:simplePos x="0" y="0"/>
                <wp:positionH relativeFrom="column">
                  <wp:posOffset>-513715</wp:posOffset>
                </wp:positionH>
                <wp:positionV relativeFrom="paragraph">
                  <wp:posOffset>-733367</wp:posOffset>
                </wp:positionV>
                <wp:extent cx="1556425" cy="2616451"/>
                <wp:effectExtent l="0" t="0" r="18415" b="12700"/>
                <wp:wrapNone/>
                <wp:docPr id="641108651" name="Rectangle 3"/>
                <wp:cNvGraphicFramePr/>
                <a:graphic xmlns:a="http://schemas.openxmlformats.org/drawingml/2006/main">
                  <a:graphicData uri="http://schemas.microsoft.com/office/word/2010/wordprocessingShape">
                    <wps:wsp>
                      <wps:cNvSpPr/>
                      <wps:spPr>
                        <a:xfrm>
                          <a:off x="0" y="0"/>
                          <a:ext cx="1556425" cy="2616451"/>
                        </a:xfrm>
                        <a:prstGeom prst="rightArrowCallout">
                          <a:avLst>
                            <a:gd name="adj1" fmla="val 0"/>
                            <a:gd name="adj2" fmla="val 0"/>
                            <a:gd name="adj3" fmla="val 25000"/>
                            <a:gd name="adj4" fmla="val 64977"/>
                          </a:avLst>
                        </a:pr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90D8299" w14:textId="77777777" w:rsidR="00EE2295" w:rsidRPr="003B6635" w:rsidRDefault="00EE2295" w:rsidP="00EE2295">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265816A1" w14:textId="30FD189E" w:rsidR="00EE2295" w:rsidRPr="003B6635" w:rsidRDefault="001E7394" w:rsidP="00EE2295">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E2295" w:rsidRPr="003B6635">
                              <w:rPr>
                                <w:b w:val="0"/>
                                <w:bCs w:val="0"/>
                                <w:color w:val="000000" w:themeColor="text1"/>
                                <w:sz w:val="16"/>
                                <w:szCs w:val="16"/>
                                <w14:textOutline w14:w="12700" w14:cap="rnd" w14:cmpd="sng" w14:algn="ctr">
                                  <w14:noFill/>
                                  <w14:prstDash w14:val="solid"/>
                                  <w14:bevel/>
                                </w14:textOutline>
                              </w:rPr>
                              <w:t xml:space="preserve"> </w:t>
                            </w:r>
                            <w:r w:rsidR="00EE2295" w:rsidRPr="003B6635">
                              <w:rPr>
                                <w:color w:val="000000" w:themeColor="text1"/>
                                <w:sz w:val="16"/>
                                <w:szCs w:val="16"/>
                                <w14:textOutline w14:w="12700" w14:cap="rnd" w14:cmpd="sng" w14:algn="ctr">
                                  <w14:noFill/>
                                  <w14:prstDash w14:val="solid"/>
                                  <w14:bevel/>
                                </w14:textOutline>
                              </w:rPr>
                              <w:t>Brief #5</w:t>
                            </w:r>
                            <w:r w:rsidR="00EE2295"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1" w:history="1">
                              <w:r w:rsidR="00EE2295" w:rsidRPr="00B53A18">
                                <w:rPr>
                                  <w:rStyle w:val="Hyperlink"/>
                                  <w:b w:val="0"/>
                                  <w:bCs w:val="0"/>
                                  <w:sz w:val="16"/>
                                  <w:szCs w:val="16"/>
                                  <w14:textOutline w14:w="12700" w14:cap="rnd" w14:cmpd="sng" w14:algn="ctr">
                                    <w14:noFill/>
                                    <w14:prstDash w14:val="solid"/>
                                    <w14:bevel/>
                                  </w14:textOutline>
                                </w:rPr>
                                <w:t>Equity in Implementation Practice</w:t>
                              </w:r>
                            </w:hyperlink>
                            <w:r>
                              <w:rPr>
                                <w:rStyle w:val="Hyperlink"/>
                                <w:b w:val="0"/>
                                <w:bCs w:val="0"/>
                                <w:sz w:val="16"/>
                                <w:szCs w:val="16"/>
                                <w14:textOutline w14:w="12700" w14:cap="rnd" w14:cmpd="sng" w14:algn="ctr">
                                  <w14:noFill/>
                                  <w14:prstDash w14:val="solid"/>
                                  <w14:bevel/>
                                </w14:textOutline>
                              </w:rPr>
                              <w:t xml:space="preserve"> (docx) </w:t>
                            </w:r>
                            <w:r w:rsidR="00EE2295"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575B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40.45pt;margin-top:-57.75pt;width:122.55pt;height:206pt;z-index:25171558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" o:allowoverlap="f" adj="14035,10800,16200,10800" filled="f" strokecolor="#9f396b" strokeweight="1pt">
                <v:textbox inset=",7.2pt,,0">
                  <w:txbxContent>
                    <w:p w14:paraId="490D8299" w14:textId="77777777" w:rsidR="00EE2295" w:rsidRPr="003B6635" w:rsidRDefault="00EE2295" w:rsidP="00EE2295">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265816A1" w14:textId="30FD189E" w:rsidR="00EE2295" w:rsidRPr="003B6635" w:rsidRDefault="001E7394" w:rsidP="00EE2295">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EE2295" w:rsidRPr="003B6635">
                        <w:rPr>
                          <w:b w:val="0"/>
                          <w:bCs w:val="0"/>
                          <w:color w:val="000000" w:themeColor="text1"/>
                          <w:sz w:val="16"/>
                          <w:szCs w:val="16"/>
                          <w14:textOutline w14:w="12700" w14:cap="rnd" w14:cmpd="sng" w14:algn="ctr">
                            <w14:noFill/>
                            <w14:prstDash w14:val="solid"/>
                            <w14:bevel/>
                          </w14:textOutline>
                        </w:rPr>
                        <w:t xml:space="preserve"> </w:t>
                      </w:r>
                      <w:r w:rsidR="00EE2295" w:rsidRPr="003B6635">
                        <w:rPr>
                          <w:color w:val="000000" w:themeColor="text1"/>
                          <w:sz w:val="16"/>
                          <w:szCs w:val="16"/>
                          <w14:textOutline w14:w="12700" w14:cap="rnd" w14:cmpd="sng" w14:algn="ctr">
                            <w14:noFill/>
                            <w14:prstDash w14:val="solid"/>
                            <w14:bevel/>
                          </w14:textOutline>
                        </w:rPr>
                        <w:t>Brief #5</w:t>
                      </w:r>
                      <w:r w:rsidR="00EE2295"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2" w:history="1">
                        <w:r w:rsidR="00EE2295" w:rsidRPr="00B53A18">
                          <w:rPr>
                            <w:rStyle w:val="Hyperlink"/>
                            <w:b w:val="0"/>
                            <w:bCs w:val="0"/>
                            <w:sz w:val="16"/>
                            <w:szCs w:val="16"/>
                            <w14:textOutline w14:w="12700" w14:cap="rnd" w14:cmpd="sng" w14:algn="ctr">
                              <w14:noFill/>
                              <w14:prstDash w14:val="solid"/>
                              <w14:bevel/>
                            </w14:textOutline>
                          </w:rPr>
                          <w:t>Equity in Implementation Practice</w:t>
                        </w:r>
                      </w:hyperlink>
                      <w:r>
                        <w:rPr>
                          <w:rStyle w:val="Hyperlink"/>
                          <w:b w:val="0"/>
                          <w:bCs w:val="0"/>
                          <w:sz w:val="16"/>
                          <w:szCs w:val="16"/>
                          <w14:textOutline w14:w="12700" w14:cap="rnd" w14:cmpd="sng" w14:algn="ctr">
                            <w14:noFill/>
                            <w14:prstDash w14:val="solid"/>
                            <w14:bevel/>
                          </w14:textOutline>
                        </w:rPr>
                        <w:t xml:space="preserve"> (docx) </w:t>
                      </w:r>
                      <w:r w:rsidR="00EE2295"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v:textbox>
              </v:shape>
            </w:pict>
          </mc:Fallback>
        </mc:AlternateContent>
      </w:r>
    </w:p>
    <w:p w14:paraId="4D03D08D" w14:textId="13D854B2" w:rsidR="000A4F46" w:rsidRPr="001D4F1F" w:rsidRDefault="000A4F46" w:rsidP="00366B4C">
      <w:r w:rsidRPr="001D4F1F">
        <w:t xml:space="preserve">Regional Triple P partners’ readiness to engage in ICTP regional support is an important factor to consider when determining </w:t>
      </w:r>
      <w:r w:rsidRPr="001D4F1F">
        <w:rPr>
          <w:i/>
          <w:iCs/>
        </w:rPr>
        <w:t>when</w:t>
      </w:r>
      <w:r w:rsidRPr="001D4F1F">
        <w:t xml:space="preserve"> to engage in such support or, if ICTP project team capacity to provide support is limited, </w:t>
      </w:r>
      <w:r w:rsidRPr="001D4F1F">
        <w:rPr>
          <w:i/>
          <w:iCs/>
        </w:rPr>
        <w:t>which</w:t>
      </w:r>
      <w:r w:rsidRPr="001D4F1F">
        <w:t xml:space="preserve"> regional partners to prioritize for support. The ICTP project team has developed a variety of resources and protocols that may be useful when exploring regional Triple P partners’ readiness to engage in ICTP support. These resources are located in </w:t>
      </w:r>
      <w:hyperlink r:id="rId13" w:history="1">
        <w:r w:rsidRPr="002453F0">
          <w:rPr>
            <w:rStyle w:val="Hyperlink"/>
          </w:rPr>
          <w:t>Appendix A</w:t>
        </w:r>
      </w:hyperlink>
      <w:r w:rsidRPr="001D4F1F">
        <w:t>.</w:t>
      </w:r>
    </w:p>
    <w:p w14:paraId="26648ECF" w14:textId="77777777" w:rsidR="000A4F46" w:rsidRPr="001D4F1F" w:rsidRDefault="000A4F46" w:rsidP="000A4F46"/>
    <w:p w14:paraId="7AC77004" w14:textId="2872654A" w:rsidR="000A4F46" w:rsidRPr="001D4F1F" w:rsidRDefault="00B33543" w:rsidP="000A4F46">
      <w:r>
        <w:rPr>
          <w:rFonts w:eastAsia="Libre Baskerville"/>
          <w:noProof/>
        </w:rPr>
        <mc:AlternateContent>
          <mc:Choice Requires="wps">
            <w:drawing>
              <wp:anchor distT="0" distB="0" distL="114300" distR="274320" simplePos="0" relativeHeight="251717632" behindDoc="0" locked="0" layoutInCell="1" allowOverlap="0" wp14:anchorId="096A78EA" wp14:editId="7D5E5930">
                <wp:simplePos x="0" y="0"/>
                <wp:positionH relativeFrom="column">
                  <wp:posOffset>-514350</wp:posOffset>
                </wp:positionH>
                <wp:positionV relativeFrom="paragraph">
                  <wp:posOffset>724535</wp:posOffset>
                </wp:positionV>
                <wp:extent cx="1556385" cy="2254250"/>
                <wp:effectExtent l="0" t="0" r="18415" b="19050"/>
                <wp:wrapThrough wrapText="right">
                  <wp:wrapPolygon edited="0">
                    <wp:start x="0" y="0"/>
                    <wp:lineTo x="0" y="21661"/>
                    <wp:lineTo x="14453" y="21661"/>
                    <wp:lineTo x="14453" y="11682"/>
                    <wp:lineTo x="21679" y="10952"/>
                    <wp:lineTo x="21679" y="10709"/>
                    <wp:lineTo x="14453" y="9735"/>
                    <wp:lineTo x="14453" y="0"/>
                    <wp:lineTo x="0" y="0"/>
                  </wp:wrapPolygon>
                </wp:wrapThrough>
                <wp:docPr id="493761477" name="Rectangle 3"/>
                <wp:cNvGraphicFramePr/>
                <a:graphic xmlns:a="http://schemas.openxmlformats.org/drawingml/2006/main">
                  <a:graphicData uri="http://schemas.microsoft.com/office/word/2010/wordprocessingShape">
                    <wps:wsp>
                      <wps:cNvSpPr/>
                      <wps:spPr>
                        <a:xfrm>
                          <a:off x="0" y="0"/>
                          <a:ext cx="1556385" cy="2254250"/>
                        </a:xfrm>
                        <a:prstGeom prst="rightArrowCallout">
                          <a:avLst>
                            <a:gd name="adj1" fmla="val 0"/>
                            <a:gd name="adj2" fmla="val 0"/>
                            <a:gd name="adj3" fmla="val 25000"/>
                            <a:gd name="adj4" fmla="val 64977"/>
                          </a:avLst>
                        </a:prstGeom>
                        <a:solidFill>
                          <a:schemeClr val="bg1"/>
                        </a:solid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3CBC535C"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1FD6CC96"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p>
                          <w:p w14:paraId="0E735A02" w14:textId="48D76A0E" w:rsidR="00B33543" w:rsidRDefault="00B33543" w:rsidP="00B33543">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To learn more about universal supports, </w:t>
                            </w:r>
                            <w:r w:rsidR="00FB7EB3">
                              <w:rPr>
                                <w:b w:val="0"/>
                                <w:bCs w:val="0"/>
                                <w:color w:val="002060"/>
                                <w:sz w:val="16"/>
                                <w:szCs w:val="16"/>
                                <w14:textOutline w14:w="12700" w14:cap="rnd" w14:cmpd="sng" w14:algn="ctr">
                                  <w14:noFill/>
                                  <w14:prstDash w14:val="solid"/>
                                  <w14:bevel/>
                                </w14:textOutline>
                              </w:rPr>
                              <w:t>download</w:t>
                            </w:r>
                            <w:r>
                              <w:rPr>
                                <w:b w:val="0"/>
                                <w:bCs w:val="0"/>
                                <w:color w:val="002060"/>
                                <w:sz w:val="16"/>
                                <w:szCs w:val="16"/>
                                <w14:textOutline w14:w="12700" w14:cap="rnd" w14:cmpd="sng" w14:algn="ctr">
                                  <w14:noFill/>
                                  <w14:prstDash w14:val="solid"/>
                                  <w14:bevel/>
                                </w14:textOutline>
                              </w:rPr>
                              <w:t xml:space="preserve"> </w:t>
                            </w:r>
                          </w:p>
                          <w:p w14:paraId="7A50A516" w14:textId="78E2A46D" w:rsidR="00B33543" w:rsidRPr="00FF209C" w:rsidRDefault="00B33543" w:rsidP="00B33543">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Pr>
                                <w:b w:val="0"/>
                                <w:bCs w:val="0"/>
                                <w:color w:val="002060"/>
                                <w:sz w:val="16"/>
                                <w:szCs w:val="16"/>
                                <w14:textOutline w14:w="12700" w14:cap="rnd" w14:cmpd="sng" w14:algn="ctr">
                                  <w14:noFill/>
                                  <w14:prstDash w14:val="solid"/>
                                  <w14:bevel/>
                                </w14:textOutline>
                              </w:rPr>
                              <w:t>: ICTP Implementation Support Practice at the Regional Level, section</w:t>
                            </w:r>
                            <w:r w:rsidRPr="00FF209C">
                              <w:rPr>
                                <w:b w:val="0"/>
                                <w:bCs w:val="0"/>
                                <w:color w:val="002060"/>
                                <w:sz w:val="16"/>
                                <w:szCs w:val="16"/>
                                <w14:textOutline w14:w="12700" w14:cap="rnd" w14:cmpd="sng" w14:algn="ctr">
                                  <w14:noFill/>
                                  <w14:prstDash w14:val="solid"/>
                                  <w14:bevel/>
                                </w14:textOutline>
                              </w:rPr>
                              <w:t xml:space="preserve"> </w:t>
                            </w:r>
                            <w:hyperlink r:id="rId14" w:history="1">
                              <w:r w:rsidRPr="003F5F00">
                                <w:rPr>
                                  <w:rStyle w:val="Hyperlink"/>
                                  <w:b w:val="0"/>
                                  <w:bCs w:val="0"/>
                                  <w:sz w:val="16"/>
                                  <w:szCs w:val="16"/>
                                  <w14:textOutline w14:w="12700" w14:cap="rnd" w14:cmpd="sng" w14:algn="ctr">
                                    <w14:noFill/>
                                    <w14:prstDash w14:val="solid"/>
                                    <w14:bevel/>
                                  </w14:textOutline>
                                </w:rPr>
                                <w:t>Dynamic Implementation Support</w:t>
                              </w:r>
                            </w:hyperlink>
                            <w:r w:rsidR="00FB7EB3">
                              <w:rPr>
                                <w:b w:val="0"/>
                                <w:bCs w:val="0"/>
                                <w:color w:val="002060"/>
                                <w:sz w:val="16"/>
                                <w:szCs w:val="16"/>
                                <w14:textOutline w14:w="12700" w14:cap="rnd" w14:cmpd="sng" w14:algn="ctr">
                                  <w14:noFill/>
                                  <w14:prstDash w14:val="solid"/>
                                  <w14:bevel/>
                                </w14:textOutline>
                              </w:rPr>
                              <w:t xml:space="preserve"> (docx).</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78EA" id="_x0000_s1028" type="#_x0000_t78" style="position:absolute;left:0;text-align:left;margin-left:-40.5pt;margin-top:57.05pt;width:122.55pt;height:177.5pt;z-index:25171763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" o:allowoverlap="f" adj="14035,10800,16200,10800" fillcolor="white [3212]" strokecolor="#00037e" strokeweight="1pt">
                <v:textbox inset=",7.2pt,,0">
                  <w:txbxContent>
                    <w:p w14:paraId="3CBC535C"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1FD6CC96" w14:textId="77777777" w:rsidR="00B33543" w:rsidRPr="00FF209C" w:rsidRDefault="00B33543" w:rsidP="00B33543">
                      <w:pPr>
                        <w:pStyle w:val="FigureTitles"/>
                        <w:jc w:val="center"/>
                        <w:rPr>
                          <w:color w:val="002060"/>
                          <w:sz w:val="16"/>
                          <w:szCs w:val="16"/>
                          <w14:textOutline w14:w="12700" w14:cap="rnd" w14:cmpd="sng" w14:algn="ctr">
                            <w14:noFill/>
                            <w14:prstDash w14:val="solid"/>
                            <w14:bevel/>
                          </w14:textOutline>
                        </w:rPr>
                      </w:pPr>
                    </w:p>
                    <w:p w14:paraId="0E735A02" w14:textId="48D76A0E" w:rsidR="00B33543" w:rsidRDefault="00B33543" w:rsidP="00B33543">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To learn more about universal supports, </w:t>
                      </w:r>
                      <w:r w:rsidR="00FB7EB3">
                        <w:rPr>
                          <w:b w:val="0"/>
                          <w:bCs w:val="0"/>
                          <w:color w:val="002060"/>
                          <w:sz w:val="16"/>
                          <w:szCs w:val="16"/>
                          <w14:textOutline w14:w="12700" w14:cap="rnd" w14:cmpd="sng" w14:algn="ctr">
                            <w14:noFill/>
                            <w14:prstDash w14:val="solid"/>
                            <w14:bevel/>
                          </w14:textOutline>
                        </w:rPr>
                        <w:t>download</w:t>
                      </w:r>
                      <w:r>
                        <w:rPr>
                          <w:b w:val="0"/>
                          <w:bCs w:val="0"/>
                          <w:color w:val="002060"/>
                          <w:sz w:val="16"/>
                          <w:szCs w:val="16"/>
                          <w14:textOutline w14:w="12700" w14:cap="rnd" w14:cmpd="sng" w14:algn="ctr">
                            <w14:noFill/>
                            <w14:prstDash w14:val="solid"/>
                            <w14:bevel/>
                          </w14:textOutline>
                        </w:rPr>
                        <w:t xml:space="preserve"> </w:t>
                      </w:r>
                    </w:p>
                    <w:p w14:paraId="7A50A516" w14:textId="78E2A46D" w:rsidR="00B33543" w:rsidRPr="00FF209C" w:rsidRDefault="00B33543" w:rsidP="00B33543">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w:t>
                      </w:r>
                      <w:r>
                        <w:rPr>
                          <w:color w:val="002060"/>
                          <w:sz w:val="16"/>
                          <w:szCs w:val="16"/>
                          <w14:textOutline w14:w="12700" w14:cap="rnd" w14:cmpd="sng" w14:algn="ctr">
                            <w14:noFill/>
                            <w14:prstDash w14:val="solid"/>
                            <w14:bevel/>
                          </w14:textOutline>
                        </w:rPr>
                        <w:t>6</w:t>
                      </w:r>
                      <w:r>
                        <w:rPr>
                          <w:b w:val="0"/>
                          <w:bCs w:val="0"/>
                          <w:color w:val="002060"/>
                          <w:sz w:val="16"/>
                          <w:szCs w:val="16"/>
                          <w14:textOutline w14:w="12700" w14:cap="rnd" w14:cmpd="sng" w14:algn="ctr">
                            <w14:noFill/>
                            <w14:prstDash w14:val="solid"/>
                            <w14:bevel/>
                          </w14:textOutline>
                        </w:rPr>
                        <w:t>: ICTP Implementation Support Practice at the Regional Level, section</w:t>
                      </w:r>
                      <w:r w:rsidRPr="00FF209C">
                        <w:rPr>
                          <w:b w:val="0"/>
                          <w:bCs w:val="0"/>
                          <w:color w:val="002060"/>
                          <w:sz w:val="16"/>
                          <w:szCs w:val="16"/>
                          <w14:textOutline w14:w="12700" w14:cap="rnd" w14:cmpd="sng" w14:algn="ctr">
                            <w14:noFill/>
                            <w14:prstDash w14:val="solid"/>
                            <w14:bevel/>
                          </w14:textOutline>
                        </w:rPr>
                        <w:t xml:space="preserve"> </w:t>
                      </w:r>
                      <w:hyperlink r:id="rId15" w:history="1">
                        <w:r w:rsidRPr="003F5F00">
                          <w:rPr>
                            <w:rStyle w:val="Hyperlink"/>
                            <w:b w:val="0"/>
                            <w:bCs w:val="0"/>
                            <w:sz w:val="16"/>
                            <w:szCs w:val="16"/>
                            <w14:textOutline w14:w="12700" w14:cap="rnd" w14:cmpd="sng" w14:algn="ctr">
                              <w14:noFill/>
                              <w14:prstDash w14:val="solid"/>
                              <w14:bevel/>
                            </w14:textOutline>
                          </w:rPr>
                          <w:t>Dynamic Implementation Support</w:t>
                        </w:r>
                      </w:hyperlink>
                      <w:r w:rsidR="00FB7EB3">
                        <w:rPr>
                          <w:b w:val="0"/>
                          <w:bCs w:val="0"/>
                          <w:color w:val="002060"/>
                          <w:sz w:val="16"/>
                          <w:szCs w:val="16"/>
                          <w14:textOutline w14:w="12700" w14:cap="rnd" w14:cmpd="sng" w14:algn="ctr">
                            <w14:noFill/>
                            <w14:prstDash w14:val="solid"/>
                            <w14:bevel/>
                          </w14:textOutline>
                        </w:rPr>
                        <w:t xml:space="preserve"> (docx).</w:t>
                      </w:r>
                    </w:p>
                  </w:txbxContent>
                </v:textbox>
                <w10:wrap type="through" side="right"/>
              </v:shape>
            </w:pict>
          </mc:Fallback>
        </mc:AlternateContent>
      </w:r>
      <w:r w:rsidR="000A4F46" w:rsidRPr="001D4F1F">
        <w:t xml:space="preserve">Providing ICTP regional implementation support in the context of limited partner readiness will greatly limit the effectiveness of support. At best, progress may be slow or stall. At worst, relationships between the ICTP project team and regional partners may become strained. Therefore, when regional partners and the ICTP project team reach a consensus that </w:t>
      </w:r>
      <w:r w:rsidR="000A4F46" w:rsidRPr="001D4F1F">
        <w:rPr>
          <w:i/>
          <w:iCs/>
        </w:rPr>
        <w:t>sufficient</w:t>
      </w:r>
      <w:r w:rsidR="000A4F46" w:rsidRPr="001D4F1F">
        <w:t xml:space="preserve"> </w:t>
      </w:r>
      <w:r w:rsidR="000A4F46" w:rsidRPr="001D4F1F">
        <w:rPr>
          <w:i/>
          <w:iCs/>
        </w:rPr>
        <w:t>readiness</w:t>
      </w:r>
      <w:r w:rsidR="000A4F46" w:rsidRPr="001D4F1F">
        <w:t xml:space="preserve"> for engaging in ICTP regional support is not present, they may discuss alternative support options and activities offered by the ICTP project team and allowable within the scope of regional partner agreements with their funders and state Triple P leaders. For example, </w:t>
      </w:r>
      <w:r w:rsidR="000A4F46" w:rsidRPr="00B33543">
        <w:rPr>
          <w:shd w:val="clear" w:color="auto" w:fill="EEF6FA"/>
        </w:rPr>
        <w:t>universal support</w:t>
      </w:r>
      <w:r w:rsidR="000A4F46" w:rsidRPr="00B33543">
        <w:rPr>
          <w:i/>
          <w:iCs/>
          <w:shd w:val="clear" w:color="auto" w:fill="EEF6FA"/>
        </w:rPr>
        <w:t xml:space="preserve"> </w:t>
      </w:r>
      <w:r w:rsidR="000A4F46" w:rsidRPr="00B33543">
        <w:rPr>
          <w:shd w:val="clear" w:color="auto" w:fill="EEF6FA"/>
        </w:rPr>
        <w:t>activities</w:t>
      </w:r>
      <w:r w:rsidR="000A4F46" w:rsidRPr="001D4F1F">
        <w:t xml:space="preserve"> or design and consultation support activities</w:t>
      </w:r>
      <w:r>
        <w:t xml:space="preserve"> (Refer to </w:t>
      </w:r>
      <w:hyperlink r:id="rId16" w:history="1">
        <w:r w:rsidRPr="00875974">
          <w:rPr>
            <w:rStyle w:val="Hyperlink"/>
          </w:rPr>
          <w:t>Brief #8, ICTP Design and Consultation Support</w:t>
        </w:r>
      </w:hyperlink>
      <w:r>
        <w:rPr>
          <w:rStyle w:val="Hyperlink"/>
        </w:rPr>
        <w:t>)</w:t>
      </w:r>
      <w:r w:rsidR="000A4F46" w:rsidRPr="001D4F1F">
        <w:t xml:space="preserve"> may be deemed more feasible or appropriate.</w:t>
      </w:r>
    </w:p>
    <w:p w14:paraId="50213AF8" w14:textId="77777777" w:rsidR="000A4F46" w:rsidRPr="001D4F1F" w:rsidRDefault="000A4F46" w:rsidP="000A4F46"/>
    <w:p w14:paraId="25E01D21" w14:textId="77777777" w:rsidR="000A4F46" w:rsidRPr="001D4F1F" w:rsidRDefault="000A4F46" w:rsidP="000A4F46">
      <w:r w:rsidRPr="001D4F1F">
        <w:t xml:space="preserve">At times, the readiness assumptions may become insufficiently met </w:t>
      </w:r>
      <w:proofErr w:type="gramStart"/>
      <w:r w:rsidRPr="001D4F1F">
        <w:t>in the course of</w:t>
      </w:r>
      <w:proofErr w:type="gramEnd"/>
      <w:r w:rsidRPr="001D4F1F">
        <w:t xml:space="preserve"> an existing support engagement, or existing support participants may become unable to consistently meet the expectations in the “Partnering” document. In these cases, ICTP regional support teams should meet with regional Triple P leaders and implementation team members to review assumptions and expectations, determine adjustments or strategies that might enable expectations to be met, or revisit the current nature of the support relationship, as discussed above.</w:t>
      </w:r>
    </w:p>
    <w:p w14:paraId="21CA3715" w14:textId="77777777" w:rsidR="000A4F46" w:rsidRPr="001D4F1F" w:rsidRDefault="000A4F46" w:rsidP="000A4F46"/>
    <w:p w14:paraId="65AFEE07" w14:textId="77777777" w:rsidR="000A4F46" w:rsidRPr="00DA2764" w:rsidRDefault="000A4F46" w:rsidP="000A4F46">
      <w:r w:rsidRPr="001D4F1F">
        <w:t>Regardless, the ICTP practice model at the regional level is not intended to be used with individuals as the sole focus of support or with implementation teams without active, involved organizational and system leaders who can create opportunities for change and nurture change once it is underway [2].</w:t>
      </w:r>
      <w:r w:rsidRPr="00DA2764">
        <w:t xml:space="preserve"> </w:t>
      </w:r>
    </w:p>
    <w:sectPr w:rsidR="000A4F46" w:rsidRPr="00DA2764" w:rsidSect="005228B3">
      <w:headerReference w:type="default" r:id="rId17"/>
      <w:footerReference w:type="default" r:id="rId18"/>
      <w:pgSz w:w="12240" w:h="15840"/>
      <w:pgMar w:top="1440" w:right="1080" w:bottom="1829" w:left="1080" w:header="720" w:footer="792" w:gutter="0"/>
      <w:pgNumType w:start="4"/>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7903" w14:textId="77777777" w:rsidR="00E033E0" w:rsidRDefault="00E033E0" w:rsidP="005F3829">
      <w:r>
        <w:separator/>
      </w:r>
    </w:p>
  </w:endnote>
  <w:endnote w:type="continuationSeparator" w:id="0">
    <w:p w14:paraId="2C93DF24" w14:textId="77777777" w:rsidR="00E033E0" w:rsidRDefault="00E033E0"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77BD3DF6" w14:textId="6FDEE474"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0A4F46">
          <w:rPr>
            <w:rFonts w:eastAsia="Lato" w:cs="Open Sans"/>
            <w:color w:val="002060"/>
            <w:sz w:val="20"/>
            <w:szCs w:val="20"/>
          </w:rPr>
          <w:t>I</w:t>
        </w:r>
        <w:r w:rsidR="00CC4915" w:rsidRPr="00CC4915">
          <w:rPr>
            <w:rFonts w:eastAsia="Lato" w:cs="Open Sans"/>
            <w:color w:val="002060"/>
            <w:sz w:val="20"/>
            <w:szCs w:val="20"/>
          </w:rPr>
          <w:t>CT</w:t>
        </w:r>
        <w:r w:rsidR="000A4F46">
          <w:rPr>
            <w:rFonts w:eastAsia="Lato" w:cs="Open Sans"/>
            <w:color w:val="002060"/>
            <w:sz w:val="20"/>
            <w:szCs w:val="20"/>
          </w:rPr>
          <w:t>P IMPLEMENTATION</w:t>
        </w:r>
        <w:r w:rsidR="00CC4915" w:rsidRPr="00CC4915">
          <w:rPr>
            <w:rFonts w:eastAsia="Lato" w:cs="Open Sans"/>
            <w:color w:val="002060"/>
            <w:sz w:val="20"/>
            <w:szCs w:val="20"/>
          </w:rPr>
          <w:t xml:space="preserve"> S</w:t>
        </w:r>
        <w:r w:rsidR="000A4F46">
          <w:rPr>
            <w:rFonts w:eastAsia="Lato" w:cs="Open Sans"/>
            <w:color w:val="002060"/>
            <w:sz w:val="20"/>
            <w:szCs w:val="20"/>
          </w:rPr>
          <w:t>UPPORT</w:t>
        </w:r>
        <w:r w:rsidR="00CC4915" w:rsidRPr="00CC4915">
          <w:rPr>
            <w:rFonts w:eastAsia="Lato" w:cs="Open Sans"/>
            <w:color w:val="002060"/>
            <w:sz w:val="20"/>
            <w:szCs w:val="20"/>
          </w:rPr>
          <w:t xml:space="preserve"> </w:t>
        </w:r>
        <w:r w:rsidR="000A4F46">
          <w:rPr>
            <w:rFonts w:eastAsia="Lato" w:cs="Open Sans"/>
            <w:color w:val="002060"/>
            <w:sz w:val="20"/>
            <w:szCs w:val="20"/>
          </w:rPr>
          <w:t>PRACTICE AT THE REGIONAL LEVEL</w:t>
        </w:r>
      </w:p>
      <w:p w14:paraId="31FF0A9E"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E986" w14:textId="77777777" w:rsidR="00E033E0" w:rsidRDefault="00E033E0" w:rsidP="005F3829">
      <w:r>
        <w:separator/>
      </w:r>
    </w:p>
  </w:footnote>
  <w:footnote w:type="continuationSeparator" w:id="0">
    <w:p w14:paraId="08F298F8" w14:textId="77777777" w:rsidR="00E033E0" w:rsidRDefault="00E033E0"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F41" w14:textId="06C759DF" w:rsidR="00805374" w:rsidRDefault="00805374">
    <w:pPr>
      <w:pStyle w:val="Header"/>
    </w:pPr>
    <w:r>
      <w:rPr>
        <w:noProof/>
      </w:rPr>
      <mc:AlternateContent>
        <mc:Choice Requires="wps">
          <w:drawing>
            <wp:anchor distT="0" distB="0" distL="114300" distR="114300" simplePos="0" relativeHeight="251659264" behindDoc="0" locked="0" layoutInCell="1" allowOverlap="1" wp14:anchorId="28CF7D3B" wp14:editId="57B85136">
              <wp:simplePos x="0" y="0"/>
              <wp:positionH relativeFrom="column">
                <wp:posOffset>-65314</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8CF7D3B" id="Rectangle 1" o:spid="_x0000_s1029" style="position:absolute;left:0;text-align:left;margin-left:-5.15pt;margin-top:-34.05pt;width:40.05pt;height:3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" fillcolor="#384975" stroked="f" strokeweight="1pt">
              <v:textbox>
                <w:txbxContent>
                  <w:p w14:paraId="77A725AE" w14:textId="77777777" w:rsidR="00805374" w:rsidRDefault="00805374" w:rsidP="00805374">
                    <w:pPr>
                      <w:ind w:left="0"/>
                      <w:jc w:val="center"/>
                      <w:rPr>
                        <w:sz w:val="13"/>
                        <w:szCs w:val="13"/>
                      </w:rPr>
                    </w:pPr>
                    <w:r w:rsidRPr="0061580A">
                      <w:rPr>
                        <w:sz w:val="13"/>
                        <w:szCs w:val="13"/>
                      </w:rPr>
                      <w:t>BRIEF</w:t>
                    </w:r>
                  </w:p>
                  <w:p w14:paraId="625D88AF" w14:textId="6F272A22" w:rsidR="00805374" w:rsidRDefault="00805374" w:rsidP="00805374">
                    <w:pPr>
                      <w:ind w:left="0"/>
                      <w:jc w:val="center"/>
                    </w:pPr>
                    <w:r>
                      <w:t>6</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04E2"/>
    <w:multiLevelType w:val="hybridMultilevel"/>
    <w:tmpl w:val="54C0E082"/>
    <w:lvl w:ilvl="0" w:tplc="FFFFFFFF">
      <w:start w:val="1"/>
      <w:numFmt w:val="bullet"/>
      <w:lvlText w:val=""/>
      <w:lvlJc w:val="left"/>
      <w:pPr>
        <w:ind w:left="50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304ED8"/>
    <w:multiLevelType w:val="hybridMultilevel"/>
    <w:tmpl w:val="72324472"/>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8218D"/>
    <w:multiLevelType w:val="hybridMultilevel"/>
    <w:tmpl w:val="7448540A"/>
    <w:lvl w:ilvl="0" w:tplc="91444068">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127EE2"/>
    <w:multiLevelType w:val="hybridMultilevel"/>
    <w:tmpl w:val="85348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E8494D"/>
    <w:multiLevelType w:val="hybridMultilevel"/>
    <w:tmpl w:val="AD68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77472">
    <w:abstractNumId w:val="11"/>
  </w:num>
  <w:num w:numId="2" w16cid:durableId="1573924017">
    <w:abstractNumId w:val="2"/>
  </w:num>
  <w:num w:numId="3" w16cid:durableId="442841348">
    <w:abstractNumId w:val="9"/>
  </w:num>
  <w:num w:numId="4" w16cid:durableId="1473205752">
    <w:abstractNumId w:val="5"/>
  </w:num>
  <w:num w:numId="5" w16cid:durableId="2119593424">
    <w:abstractNumId w:val="0"/>
  </w:num>
  <w:num w:numId="6" w16cid:durableId="1863543625">
    <w:abstractNumId w:val="1"/>
  </w:num>
  <w:num w:numId="7" w16cid:durableId="1337877168">
    <w:abstractNumId w:val="4"/>
  </w:num>
  <w:num w:numId="8" w16cid:durableId="1026907260">
    <w:abstractNumId w:val="8"/>
  </w:num>
  <w:num w:numId="9" w16cid:durableId="1047148661">
    <w:abstractNumId w:val="6"/>
  </w:num>
  <w:num w:numId="10" w16cid:durableId="223489745">
    <w:abstractNumId w:val="7"/>
  </w:num>
  <w:num w:numId="11" w16cid:durableId="409929883">
    <w:abstractNumId w:val="3"/>
  </w:num>
  <w:num w:numId="12" w16cid:durableId="689374353">
    <w:abstractNumId w:val="12"/>
  </w:num>
  <w:num w:numId="13" w16cid:durableId="2086367455">
    <w:abstractNumId w:val="13"/>
  </w:num>
  <w:num w:numId="14" w16cid:durableId="95151816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4"/>
    <w:rsid w:val="0000345F"/>
    <w:rsid w:val="00003816"/>
    <w:rsid w:val="00007DE4"/>
    <w:rsid w:val="00021BA9"/>
    <w:rsid w:val="00024A9D"/>
    <w:rsid w:val="00033BF7"/>
    <w:rsid w:val="00035F7D"/>
    <w:rsid w:val="00041161"/>
    <w:rsid w:val="00043857"/>
    <w:rsid w:val="000608E9"/>
    <w:rsid w:val="00065645"/>
    <w:rsid w:val="00071496"/>
    <w:rsid w:val="00077C9B"/>
    <w:rsid w:val="00081BE1"/>
    <w:rsid w:val="00086FED"/>
    <w:rsid w:val="00091485"/>
    <w:rsid w:val="000935D4"/>
    <w:rsid w:val="00095E2B"/>
    <w:rsid w:val="000A0D7C"/>
    <w:rsid w:val="000A458D"/>
    <w:rsid w:val="000A4AA4"/>
    <w:rsid w:val="000A4F46"/>
    <w:rsid w:val="000A65A5"/>
    <w:rsid w:val="000B5263"/>
    <w:rsid w:val="000C235D"/>
    <w:rsid w:val="000D1724"/>
    <w:rsid w:val="000D554F"/>
    <w:rsid w:val="000E6E43"/>
    <w:rsid w:val="000F791B"/>
    <w:rsid w:val="00103DF4"/>
    <w:rsid w:val="00110010"/>
    <w:rsid w:val="00132FD0"/>
    <w:rsid w:val="00137C2C"/>
    <w:rsid w:val="001403B6"/>
    <w:rsid w:val="00140E60"/>
    <w:rsid w:val="00153E7E"/>
    <w:rsid w:val="00156841"/>
    <w:rsid w:val="00162E42"/>
    <w:rsid w:val="00163883"/>
    <w:rsid w:val="001736B2"/>
    <w:rsid w:val="00191650"/>
    <w:rsid w:val="001A122C"/>
    <w:rsid w:val="001B3110"/>
    <w:rsid w:val="001C5AC8"/>
    <w:rsid w:val="001E7394"/>
    <w:rsid w:val="00214BDF"/>
    <w:rsid w:val="00221D22"/>
    <w:rsid w:val="002453F0"/>
    <w:rsid w:val="00245ACC"/>
    <w:rsid w:val="002556A0"/>
    <w:rsid w:val="00257E81"/>
    <w:rsid w:val="00260CEA"/>
    <w:rsid w:val="00261B51"/>
    <w:rsid w:val="002643F7"/>
    <w:rsid w:val="00265F66"/>
    <w:rsid w:val="00271354"/>
    <w:rsid w:val="00281DC3"/>
    <w:rsid w:val="002938A9"/>
    <w:rsid w:val="00297814"/>
    <w:rsid w:val="002A5798"/>
    <w:rsid w:val="002A7CD7"/>
    <w:rsid w:val="002A7D42"/>
    <w:rsid w:val="002C6473"/>
    <w:rsid w:val="002E0546"/>
    <w:rsid w:val="002E6E87"/>
    <w:rsid w:val="002F02AE"/>
    <w:rsid w:val="002F3C1D"/>
    <w:rsid w:val="00302A43"/>
    <w:rsid w:val="0032638D"/>
    <w:rsid w:val="0033373A"/>
    <w:rsid w:val="0034610F"/>
    <w:rsid w:val="003562E9"/>
    <w:rsid w:val="00362DA3"/>
    <w:rsid w:val="00364AC2"/>
    <w:rsid w:val="00366B4C"/>
    <w:rsid w:val="00366FEF"/>
    <w:rsid w:val="00380815"/>
    <w:rsid w:val="00390120"/>
    <w:rsid w:val="003D45D3"/>
    <w:rsid w:val="003D5CEB"/>
    <w:rsid w:val="003F0284"/>
    <w:rsid w:val="00400456"/>
    <w:rsid w:val="00400DC1"/>
    <w:rsid w:val="00417284"/>
    <w:rsid w:val="00437681"/>
    <w:rsid w:val="00443169"/>
    <w:rsid w:val="004515BC"/>
    <w:rsid w:val="0045167A"/>
    <w:rsid w:val="00465D8D"/>
    <w:rsid w:val="0047287D"/>
    <w:rsid w:val="00473E69"/>
    <w:rsid w:val="00475787"/>
    <w:rsid w:val="00480593"/>
    <w:rsid w:val="004836BB"/>
    <w:rsid w:val="0048504D"/>
    <w:rsid w:val="00495E90"/>
    <w:rsid w:val="004974C5"/>
    <w:rsid w:val="004A20EF"/>
    <w:rsid w:val="004C7BC2"/>
    <w:rsid w:val="004C7C6B"/>
    <w:rsid w:val="004D1366"/>
    <w:rsid w:val="004D30DC"/>
    <w:rsid w:val="004E3CDE"/>
    <w:rsid w:val="004E50F5"/>
    <w:rsid w:val="004F1E39"/>
    <w:rsid w:val="004F3458"/>
    <w:rsid w:val="004F4BE3"/>
    <w:rsid w:val="005041CD"/>
    <w:rsid w:val="00510884"/>
    <w:rsid w:val="005228B3"/>
    <w:rsid w:val="00536F5E"/>
    <w:rsid w:val="00550E57"/>
    <w:rsid w:val="00562892"/>
    <w:rsid w:val="005655C2"/>
    <w:rsid w:val="00570D30"/>
    <w:rsid w:val="00594461"/>
    <w:rsid w:val="005B308E"/>
    <w:rsid w:val="005B3C1A"/>
    <w:rsid w:val="005C3DDB"/>
    <w:rsid w:val="005C6370"/>
    <w:rsid w:val="005C676B"/>
    <w:rsid w:val="005D1349"/>
    <w:rsid w:val="005F3829"/>
    <w:rsid w:val="00603553"/>
    <w:rsid w:val="006057C3"/>
    <w:rsid w:val="00607292"/>
    <w:rsid w:val="00620E3F"/>
    <w:rsid w:val="00623929"/>
    <w:rsid w:val="00637294"/>
    <w:rsid w:val="00640C20"/>
    <w:rsid w:val="0066240F"/>
    <w:rsid w:val="006707EF"/>
    <w:rsid w:val="00673DAC"/>
    <w:rsid w:val="00675E63"/>
    <w:rsid w:val="00682FD7"/>
    <w:rsid w:val="00695E8D"/>
    <w:rsid w:val="006A5B3F"/>
    <w:rsid w:val="006A637E"/>
    <w:rsid w:val="006A6FAD"/>
    <w:rsid w:val="006B2C82"/>
    <w:rsid w:val="006D39A7"/>
    <w:rsid w:val="006D3D88"/>
    <w:rsid w:val="006E4039"/>
    <w:rsid w:val="006F2507"/>
    <w:rsid w:val="006F5DDB"/>
    <w:rsid w:val="00713065"/>
    <w:rsid w:val="0071347A"/>
    <w:rsid w:val="00716FDC"/>
    <w:rsid w:val="00726376"/>
    <w:rsid w:val="00731EAF"/>
    <w:rsid w:val="00741FE6"/>
    <w:rsid w:val="00743A2C"/>
    <w:rsid w:val="00745E42"/>
    <w:rsid w:val="00760392"/>
    <w:rsid w:val="0076361D"/>
    <w:rsid w:val="00772A8A"/>
    <w:rsid w:val="00781718"/>
    <w:rsid w:val="007B02FD"/>
    <w:rsid w:val="007C21E5"/>
    <w:rsid w:val="007F26DD"/>
    <w:rsid w:val="00802D83"/>
    <w:rsid w:val="00805374"/>
    <w:rsid w:val="00806A17"/>
    <w:rsid w:val="00807003"/>
    <w:rsid w:val="008234F4"/>
    <w:rsid w:val="008461CE"/>
    <w:rsid w:val="00851604"/>
    <w:rsid w:val="00856661"/>
    <w:rsid w:val="00862AC5"/>
    <w:rsid w:val="008A0824"/>
    <w:rsid w:val="008B0C1A"/>
    <w:rsid w:val="008B28E1"/>
    <w:rsid w:val="008C1DE9"/>
    <w:rsid w:val="008C29B5"/>
    <w:rsid w:val="008E43E7"/>
    <w:rsid w:val="008F12BB"/>
    <w:rsid w:val="008F52B4"/>
    <w:rsid w:val="00905A69"/>
    <w:rsid w:val="0090628E"/>
    <w:rsid w:val="009112D9"/>
    <w:rsid w:val="00924435"/>
    <w:rsid w:val="0093507F"/>
    <w:rsid w:val="00936D9D"/>
    <w:rsid w:val="00940359"/>
    <w:rsid w:val="00940BB8"/>
    <w:rsid w:val="00961D50"/>
    <w:rsid w:val="00963B1C"/>
    <w:rsid w:val="009679D3"/>
    <w:rsid w:val="00972233"/>
    <w:rsid w:val="0097475F"/>
    <w:rsid w:val="00996BC5"/>
    <w:rsid w:val="009A1A77"/>
    <w:rsid w:val="009D007D"/>
    <w:rsid w:val="009F582C"/>
    <w:rsid w:val="00A01436"/>
    <w:rsid w:val="00A02F5C"/>
    <w:rsid w:val="00A041B2"/>
    <w:rsid w:val="00A25946"/>
    <w:rsid w:val="00A2698C"/>
    <w:rsid w:val="00A36CF7"/>
    <w:rsid w:val="00A36E8E"/>
    <w:rsid w:val="00A519D9"/>
    <w:rsid w:val="00A67CC8"/>
    <w:rsid w:val="00A90EE2"/>
    <w:rsid w:val="00A97B53"/>
    <w:rsid w:val="00AA2423"/>
    <w:rsid w:val="00AA25E7"/>
    <w:rsid w:val="00AB13C1"/>
    <w:rsid w:val="00AB2D54"/>
    <w:rsid w:val="00AB3577"/>
    <w:rsid w:val="00AB5DA7"/>
    <w:rsid w:val="00AC050F"/>
    <w:rsid w:val="00AC3A14"/>
    <w:rsid w:val="00AC707E"/>
    <w:rsid w:val="00AD3759"/>
    <w:rsid w:val="00AE1DC4"/>
    <w:rsid w:val="00AE3384"/>
    <w:rsid w:val="00AE5B78"/>
    <w:rsid w:val="00AE5F4D"/>
    <w:rsid w:val="00AE7436"/>
    <w:rsid w:val="00AF1195"/>
    <w:rsid w:val="00AF1A5D"/>
    <w:rsid w:val="00AF4825"/>
    <w:rsid w:val="00B00140"/>
    <w:rsid w:val="00B01A12"/>
    <w:rsid w:val="00B14237"/>
    <w:rsid w:val="00B1451B"/>
    <w:rsid w:val="00B206EB"/>
    <w:rsid w:val="00B33543"/>
    <w:rsid w:val="00B33C37"/>
    <w:rsid w:val="00B450B3"/>
    <w:rsid w:val="00B53A18"/>
    <w:rsid w:val="00B557ED"/>
    <w:rsid w:val="00B62991"/>
    <w:rsid w:val="00B661F5"/>
    <w:rsid w:val="00B85377"/>
    <w:rsid w:val="00B97B2E"/>
    <w:rsid w:val="00BA019A"/>
    <w:rsid w:val="00BA0EC3"/>
    <w:rsid w:val="00BA1F88"/>
    <w:rsid w:val="00BA483A"/>
    <w:rsid w:val="00BC3F4A"/>
    <w:rsid w:val="00BC4D08"/>
    <w:rsid w:val="00BC67E3"/>
    <w:rsid w:val="00BD61AC"/>
    <w:rsid w:val="00BF485A"/>
    <w:rsid w:val="00C020A9"/>
    <w:rsid w:val="00C07174"/>
    <w:rsid w:val="00C07AA8"/>
    <w:rsid w:val="00C15175"/>
    <w:rsid w:val="00C22C50"/>
    <w:rsid w:val="00C303CA"/>
    <w:rsid w:val="00C36DAF"/>
    <w:rsid w:val="00C55543"/>
    <w:rsid w:val="00C66CE8"/>
    <w:rsid w:val="00C81947"/>
    <w:rsid w:val="00C90063"/>
    <w:rsid w:val="00C90AA0"/>
    <w:rsid w:val="00CA4315"/>
    <w:rsid w:val="00CB56EA"/>
    <w:rsid w:val="00CC4915"/>
    <w:rsid w:val="00CD0399"/>
    <w:rsid w:val="00CF2E89"/>
    <w:rsid w:val="00D0354C"/>
    <w:rsid w:val="00D104E0"/>
    <w:rsid w:val="00D12C13"/>
    <w:rsid w:val="00D14A23"/>
    <w:rsid w:val="00D1502D"/>
    <w:rsid w:val="00D26B84"/>
    <w:rsid w:val="00D30173"/>
    <w:rsid w:val="00D3777C"/>
    <w:rsid w:val="00D51AD5"/>
    <w:rsid w:val="00D54EFD"/>
    <w:rsid w:val="00D679D1"/>
    <w:rsid w:val="00D87CDA"/>
    <w:rsid w:val="00DC5F80"/>
    <w:rsid w:val="00DE0C0E"/>
    <w:rsid w:val="00DF3983"/>
    <w:rsid w:val="00E033E0"/>
    <w:rsid w:val="00E31277"/>
    <w:rsid w:val="00E32AE3"/>
    <w:rsid w:val="00E34815"/>
    <w:rsid w:val="00E4509A"/>
    <w:rsid w:val="00E46D98"/>
    <w:rsid w:val="00E95F35"/>
    <w:rsid w:val="00EB57D1"/>
    <w:rsid w:val="00EC6BBE"/>
    <w:rsid w:val="00ED7F6F"/>
    <w:rsid w:val="00EE2295"/>
    <w:rsid w:val="00EF0823"/>
    <w:rsid w:val="00EF5222"/>
    <w:rsid w:val="00EF6837"/>
    <w:rsid w:val="00F05870"/>
    <w:rsid w:val="00F141FE"/>
    <w:rsid w:val="00F1585E"/>
    <w:rsid w:val="00F43780"/>
    <w:rsid w:val="00F44508"/>
    <w:rsid w:val="00F46C61"/>
    <w:rsid w:val="00F4702E"/>
    <w:rsid w:val="00F6081E"/>
    <w:rsid w:val="00F60EE3"/>
    <w:rsid w:val="00F75B7F"/>
    <w:rsid w:val="00F81167"/>
    <w:rsid w:val="00F85157"/>
    <w:rsid w:val="00FB4014"/>
    <w:rsid w:val="00FB650C"/>
    <w:rsid w:val="00FB6916"/>
    <w:rsid w:val="00FB7EB3"/>
    <w:rsid w:val="00FC0D23"/>
    <w:rsid w:val="00FC7651"/>
    <w:rsid w:val="00FD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E98F8"/>
  <w15:chartTrackingRefBased/>
  <w15:docId w15:val="{190DCDAC-F3DA-F340-ADDD-E5C737B9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A02F5C"/>
    <w:pPr>
      <w:tabs>
        <w:tab w:val="left" w:pos="8190"/>
      </w:tabs>
      <w:spacing w:before="240" w:after="240"/>
      <w:ind w:right="1440"/>
      <w:outlineLvl w:val="2"/>
    </w:pPr>
    <w:rPr>
      <w:b/>
      <w:bCs/>
      <w:i w:val="0"/>
      <w:color w:val="1A1863"/>
      <w:sz w:val="24"/>
    </w:rPr>
  </w:style>
  <w:style w:type="paragraph" w:styleId="Heading4">
    <w:name w:val="heading 4"/>
    <w:basedOn w:val="Heading3"/>
    <w:next w:val="Normal"/>
    <w:link w:val="Heading4Char"/>
    <w:uiPriority w:val="9"/>
    <w:unhideWhenUsed/>
    <w:qFormat/>
    <w:rsid w:val="00AE5B78"/>
    <w:pPr>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4"/>
      </w:numPr>
      <w:spacing w:after="160" w:line="259" w:lineRule="auto"/>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2"/>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A02F5C"/>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0D1724"/>
    <w:pPr>
      <w:shd w:val="clear" w:color="auto" w:fill="D7E5EC" w:themeFill="accent2" w:themeFillTint="33"/>
    </w:pPr>
    <w:rPr>
      <w:rFonts w:eastAsia="Libre Baskerville"/>
      <w:i/>
      <w:iCs/>
    </w:rPr>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3"/>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5"/>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0A4F46"/>
    <w:pPr>
      <w:tabs>
        <w:tab w:val="center" w:pos="4680"/>
        <w:tab w:val="right" w:pos="9360"/>
      </w:tabs>
    </w:pPr>
  </w:style>
  <w:style w:type="character" w:customStyle="1" w:styleId="HeaderChar">
    <w:name w:val="Header Char"/>
    <w:basedOn w:val="DefaultParagraphFont"/>
    <w:link w:val="Header"/>
    <w:uiPriority w:val="99"/>
    <w:rsid w:val="000A4F46"/>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sid w:val="000A4F46"/>
    <w:pPr>
      <w:spacing w:after="160"/>
      <w:ind w:left="0"/>
    </w:pPr>
    <w:rPr>
      <w:rFonts w:ascii="Calibri" w:eastAsia="MS Mincho" w:hAnsi="Calibri" w:cs="Calibri"/>
      <w:sz w:val="20"/>
      <w:szCs w:val="20"/>
    </w:rPr>
  </w:style>
  <w:style w:type="character" w:customStyle="1" w:styleId="CommentTextChar">
    <w:name w:val="Comment Text Char"/>
    <w:basedOn w:val="DefaultParagraphFont"/>
    <w:link w:val="CommentText"/>
    <w:uiPriority w:val="99"/>
    <w:rsid w:val="000A4F46"/>
    <w:rPr>
      <w:rFonts w:ascii="Calibri" w:eastAsia="MS Mincho" w:hAnsi="Calibri" w:cs="Calibri"/>
      <w:color w:val="auto"/>
      <w:sz w:val="20"/>
      <w:szCs w:val="20"/>
      <w:lang w:eastAsia="en-US"/>
    </w:rPr>
  </w:style>
  <w:style w:type="numbering" w:customStyle="1" w:styleId="CurrentList9">
    <w:name w:val="Current List9"/>
    <w:uiPriority w:val="99"/>
    <w:rsid w:val="006A637E"/>
    <w:pPr>
      <w:numPr>
        <w:numId w:val="7"/>
      </w:numPr>
    </w:pPr>
  </w:style>
  <w:style w:type="numbering" w:customStyle="1" w:styleId="CurrentList6">
    <w:name w:val="Current List6"/>
    <w:uiPriority w:val="99"/>
    <w:rsid w:val="006A637E"/>
    <w:pPr>
      <w:numPr>
        <w:numId w:val="8"/>
      </w:numPr>
    </w:pPr>
  </w:style>
  <w:style w:type="numbering" w:customStyle="1" w:styleId="CurrentList10">
    <w:name w:val="Current List10"/>
    <w:uiPriority w:val="99"/>
    <w:rsid w:val="006A637E"/>
    <w:pPr>
      <w:numPr>
        <w:numId w:val="9"/>
      </w:numPr>
    </w:pPr>
  </w:style>
  <w:style w:type="table" w:styleId="ListTable4-Accent1">
    <w:name w:val="List Table 4 Accent 1"/>
    <w:basedOn w:val="TableNormal"/>
    <w:uiPriority w:val="49"/>
    <w:rsid w:val="00366B4C"/>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character" w:customStyle="1" w:styleId="cf01">
    <w:name w:val="cf01"/>
    <w:basedOn w:val="DefaultParagraphFont"/>
    <w:rsid w:val="004C7C6B"/>
    <w:rPr>
      <w:rFonts w:ascii="Segoe UI" w:hAnsi="Segoe UI" w:cs="Segoe UI" w:hint="default"/>
      <w:sz w:val="18"/>
      <w:szCs w:val="18"/>
    </w:rPr>
  </w:style>
  <w:style w:type="character" w:customStyle="1" w:styleId="cf11">
    <w:name w:val="cf11"/>
    <w:basedOn w:val="DefaultParagraphFont"/>
    <w:rsid w:val="004C7C6B"/>
    <w:rPr>
      <w:rFonts w:ascii="Segoe UI" w:hAnsi="Segoe UI" w:cs="Segoe UI" w:hint="default"/>
      <w:i/>
      <w:iCs/>
      <w:sz w:val="18"/>
      <w:szCs w:val="18"/>
    </w:rPr>
  </w:style>
  <w:style w:type="paragraph" w:customStyle="1" w:styleId="EndNoteBibliography">
    <w:name w:val="EndNote Bibliography"/>
    <w:basedOn w:val="Normal"/>
    <w:link w:val="EndNoteBibliographyChar"/>
    <w:rsid w:val="004C7C6B"/>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4C7C6B"/>
    <w:rPr>
      <w:rFonts w:ascii="Calibri" w:hAnsi="Calibri" w:cs="Calibri"/>
      <w:color w:val="auto"/>
      <w:lang w:eastAsia="en-US"/>
    </w:rPr>
  </w:style>
  <w:style w:type="character" w:customStyle="1" w:styleId="cf21">
    <w:name w:val="cf21"/>
    <w:basedOn w:val="DefaultParagraphFont"/>
    <w:rsid w:val="004C7C6B"/>
    <w:rPr>
      <w:rFonts w:ascii="Segoe UI" w:hAnsi="Segoe UI" w:cs="Segoe UI" w:hint="default"/>
      <w:sz w:val="18"/>
      <w:szCs w:val="18"/>
    </w:rPr>
  </w:style>
  <w:style w:type="character" w:customStyle="1" w:styleId="ref-title">
    <w:name w:val="ref-title"/>
    <w:basedOn w:val="DefaultParagraphFont"/>
    <w:rsid w:val="004C7C6B"/>
  </w:style>
  <w:style w:type="character" w:customStyle="1" w:styleId="ref-journal">
    <w:name w:val="ref-journal"/>
    <w:basedOn w:val="DefaultParagraphFont"/>
    <w:rsid w:val="004C7C6B"/>
  </w:style>
  <w:style w:type="character" w:customStyle="1" w:styleId="ref-vol">
    <w:name w:val="ref-vol"/>
    <w:basedOn w:val="DefaultParagraphFont"/>
    <w:rsid w:val="004C7C6B"/>
  </w:style>
  <w:style w:type="character" w:customStyle="1" w:styleId="ref-iss">
    <w:name w:val="ref-iss"/>
    <w:basedOn w:val="DefaultParagraphFont"/>
    <w:rsid w:val="004C7C6B"/>
  </w:style>
  <w:style w:type="paragraph" w:customStyle="1" w:styleId="textAcknowledgement">
    <w:name w:val="textAcknowledgement"/>
    <w:basedOn w:val="Normal"/>
    <w:qFormat/>
    <w:rsid w:val="00D12C13"/>
    <w:rPr>
      <w:rFonts w:cstheme="minorHAnsi"/>
      <w:bCs/>
      <w:sz w:val="20"/>
      <w:szCs w:val="20"/>
    </w:rPr>
  </w:style>
  <w:style w:type="paragraph" w:customStyle="1" w:styleId="textAcknowledgementList">
    <w:name w:val="textAcknowledgementList"/>
    <w:basedOn w:val="ListBullet"/>
    <w:qFormat/>
    <w:rsid w:val="00D12C13"/>
    <w:pPr>
      <w:numPr>
        <w:numId w:val="11"/>
      </w:numPr>
      <w:tabs>
        <w:tab w:val="num" w:pos="360"/>
      </w:tabs>
      <w:ind w:left="2520" w:hanging="270"/>
    </w:pPr>
    <w:rPr>
      <w:sz w:val="20"/>
      <w:szCs w:val="20"/>
    </w:rPr>
  </w:style>
  <w:style w:type="paragraph" w:customStyle="1" w:styleId="TableBullet">
    <w:name w:val="Table Bullet"/>
    <w:basedOn w:val="ListNumber"/>
    <w:qFormat/>
    <w:rsid w:val="002643F7"/>
    <w:pPr>
      <w:numPr>
        <w:numId w:val="12"/>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18096433">
      <w:bodyDiv w:val="1"/>
      <w:marLeft w:val="0"/>
      <w:marRight w:val="0"/>
      <w:marTop w:val="0"/>
      <w:marBottom w:val="0"/>
      <w:divBdr>
        <w:top w:val="none" w:sz="0" w:space="0" w:color="auto"/>
        <w:left w:val="none" w:sz="0" w:space="0" w:color="auto"/>
        <w:bottom w:val="none" w:sz="0" w:space="0" w:color="auto"/>
        <w:right w:val="none" w:sz="0" w:space="0" w:color="auto"/>
      </w:divBdr>
    </w:div>
    <w:div w:id="907690096">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template-compendium/appendix-a-catalogue-of-ictp-resources-for-entering-into-support-partnerships/" TargetMode="External"/><Relationship Id="rId13" Type="http://schemas.openxmlformats.org/officeDocument/2006/relationships/hyperlink" Target="https://ictp.fpg.unc.edu/template-compendium/appendix-a-catalogue-of-ictp-resources-for-entering-into-support-partnershi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p.fpg.unc.edu/wp-content/uploads/equity.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tp.fpg.unc.edu/wp-content/uploads/ictp-design-and-consultation-support.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equity.docx" TargetMode="External"/><Relationship Id="rId5" Type="http://schemas.openxmlformats.org/officeDocument/2006/relationships/webSettings" Target="webSettings.xml"/><Relationship Id="rId15" Type="http://schemas.openxmlformats.org/officeDocument/2006/relationships/hyperlink" Target="https://ictp.fpg.unc.edu/wp-content/uploads/dynamic-implementation-support.docx" TargetMode="External"/><Relationship Id="rId10" Type="http://schemas.openxmlformats.org/officeDocument/2006/relationships/hyperlink" Target="https://ictp.fpg.unc.edu/wp-content/uploads/equity.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tp.fpg.unc.edu/wp-content/uploads/equity.docx" TargetMode="External"/><Relationship Id="rId14" Type="http://schemas.openxmlformats.org/officeDocument/2006/relationships/hyperlink" Target="https://ictp.fpg.unc.edu/wp-content/uploads/dynamic-implementation-support.doc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2024-06-10T19:07:00Z</dcterms:created>
  <dcterms:modified xsi:type="dcterms:W3CDTF">2024-06-17T17:55:00Z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