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ED69" w14:textId="77777777" w:rsidR="008F52B4" w:rsidRPr="00024A9D" w:rsidRDefault="008F52B4" w:rsidP="008760B4">
      <w:pPr>
        <w:pStyle w:val="Heading2"/>
      </w:pPr>
      <w:r w:rsidRPr="00024A9D">
        <w:t>Maps of County &amp; Regional Triple P Scale-Up in NC</w:t>
      </w:r>
    </w:p>
    <w:p w14:paraId="5759BCE9" w14:textId="77777777" w:rsidR="008F52B4" w:rsidRDefault="008F52B4" w:rsidP="008F52B4">
      <w:pPr>
        <w:rPr>
          <w:rFonts w:eastAsia="Libre Baskerville"/>
        </w:rPr>
      </w:pPr>
      <w:r>
        <w:rPr>
          <w:rFonts w:eastAsia="Libre Baskerville"/>
        </w:rPr>
        <w:t xml:space="preserve">The state of North Carolina is scaling-up the Triple P system of interventions with the aspiration to expand its reach statewide. Triple P system scale-up started with seven counties in 2012 and expanded to 37 counties by 2018 (see Figures 1.1–1.3). At that point, the state shifted from a county-driven scaling model to a regionally driven scaling model (see Figures 1.3 and 1.4). The intent of this shift was to create regional backbone organizations, referred to as “lead implementing agencies,” that could </w:t>
      </w:r>
      <w:r>
        <w:rPr>
          <w:rFonts w:eastAsia="Libre Baskerville"/>
          <w:i/>
        </w:rPr>
        <w:t>both</w:t>
      </w:r>
      <w:r>
        <w:rPr>
          <w:rFonts w:eastAsia="Libre Baskerville"/>
        </w:rPr>
        <w:t xml:space="preserve"> support counties scaling the full Triple P system </w:t>
      </w:r>
      <w:r>
        <w:rPr>
          <w:rFonts w:eastAsia="Libre Baskerville"/>
          <w:i/>
        </w:rPr>
        <w:t>and</w:t>
      </w:r>
      <w:r>
        <w:rPr>
          <w:rFonts w:eastAsia="Libre Baskerville"/>
        </w:rPr>
        <w:t xml:space="preserve"> provide a point of connection for counties not yet doing so. This model recognized that the state did not yet have the fiscal capacity to fully scale the Triple P system in all 100 counties, despite such visions among state leaders at that time.</w:t>
      </w:r>
    </w:p>
    <w:p w14:paraId="6DDB1923" w14:textId="08B671EB" w:rsidR="00AE5B78" w:rsidRDefault="00AE5B78">
      <w:pPr>
        <w:spacing w:after="200" w:line="312" w:lineRule="auto"/>
        <w:ind w:left="0"/>
        <w:rPr>
          <w:b/>
          <w:bCs/>
          <w:iCs/>
          <w:sz w:val="18"/>
          <w:szCs w:val="18"/>
        </w:rPr>
      </w:pPr>
    </w:p>
    <w:p w14:paraId="0B67892A" w14:textId="2541F184" w:rsidR="008F52B4" w:rsidRPr="00FB4014" w:rsidRDefault="00FB4014" w:rsidP="00024A9D">
      <w:pPr>
        <w:pStyle w:val="Caption"/>
      </w:pPr>
      <w:r w:rsidRPr="000C0241">
        <w:rPr>
          <w:b/>
          <w:bCs/>
        </w:rPr>
        <w:t xml:space="preserve">Figure </w:t>
      </w:r>
      <w:r>
        <w:rPr>
          <w:b/>
          <w:bCs/>
        </w:rPr>
        <w:t>1.</w:t>
      </w:r>
      <w:r w:rsidRPr="000C0241">
        <w:rPr>
          <w:b/>
          <w:bCs/>
        </w:rPr>
        <w:t>1</w:t>
      </w:r>
      <w:r>
        <w:t xml:space="preserve"> North Carolina Triple P System County Scale-Up Map, All Funding Sources, March 2012</w:t>
      </w:r>
    </w:p>
    <w:p w14:paraId="5EC28E80" w14:textId="707E111A" w:rsidR="008F52B4" w:rsidRDefault="008F52B4" w:rsidP="008F52B4">
      <w:pPr>
        <w:rPr>
          <w:rFonts w:eastAsia="Libre Baskerville"/>
        </w:rPr>
      </w:pPr>
      <w:r>
        <w:rPr>
          <w:rFonts w:ascii="Libre Baskerville" w:eastAsia="Libre Baskerville" w:hAnsi="Libre Baskerville" w:cs="Libre Baskerville"/>
          <w:noProof/>
        </w:rPr>
        <w:drawing>
          <wp:inline distT="0" distB="0" distL="0" distR="0" wp14:anchorId="2F63017E" wp14:editId="4590921D">
            <wp:extent cx="4818888" cy="1828800"/>
            <wp:effectExtent l="0" t="0" r="0" b="0"/>
            <wp:docPr id="1892799052" name="image2.png" descr="A county map of North Carolina showing where the Triple P scale-up started in 2012. Seven counties, Madison, Watauga, Ashe, Alleghany, Cabarrus, Alamance, and Pitt, are highlighted in orang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99052" name="image2.png" descr="A county map of North Carolina showing where the Triple P scale-up started in 2012. Seven counties, Madison, Watauga, Ashe, Alleghany, Cabarrus, Alamance, and Pitt, are highlighted in orange.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8773E" w14:textId="77777777" w:rsidR="008F52B4" w:rsidRDefault="008F52B4" w:rsidP="008F52B4">
      <w:pPr>
        <w:ind w:left="0"/>
        <w:rPr>
          <w:rFonts w:eastAsia="Libre Baskerville"/>
        </w:rPr>
      </w:pPr>
    </w:p>
    <w:p w14:paraId="0BDA03AC" w14:textId="77777777" w:rsidR="00FB4014" w:rsidRDefault="00FB4014" w:rsidP="00FB401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bCs/>
        </w:rPr>
      </w:pPr>
    </w:p>
    <w:p w14:paraId="214DCDAF" w14:textId="41F5C02B" w:rsidR="00FB4014" w:rsidRPr="00FB4014" w:rsidRDefault="00FB4014" w:rsidP="00024A9D">
      <w:pPr>
        <w:pStyle w:val="Caption"/>
      </w:pPr>
      <w:r w:rsidRPr="000C0241">
        <w:rPr>
          <w:b/>
          <w:bCs/>
        </w:rPr>
        <w:t xml:space="preserve">Figure </w:t>
      </w:r>
      <w:r>
        <w:rPr>
          <w:b/>
          <w:bCs/>
        </w:rPr>
        <w:t>1.</w:t>
      </w:r>
      <w:r w:rsidRPr="000C0241">
        <w:rPr>
          <w:b/>
          <w:bCs/>
        </w:rPr>
        <w:t>2</w:t>
      </w:r>
      <w:r>
        <w:t xml:space="preserve"> North Carolina Triple P System County Scale-Up Map, All Funding Sources, March 2013</w:t>
      </w:r>
    </w:p>
    <w:p w14:paraId="0B99B364" w14:textId="2CD82C02" w:rsidR="008F52B4" w:rsidRDefault="008F52B4" w:rsidP="008F52B4">
      <w:pPr>
        <w:rPr>
          <w:rFonts w:eastAsia="Libre Baskerville"/>
        </w:rPr>
      </w:pPr>
      <w:r>
        <w:rPr>
          <w:noProof/>
        </w:rPr>
        <w:lastRenderedPageBreak/>
        <w:drawing>
          <wp:inline distT="0" distB="0" distL="0" distR="0" wp14:anchorId="7C1D0C75" wp14:editId="7938DC55">
            <wp:extent cx="4818888" cy="1828800"/>
            <wp:effectExtent l="0" t="0" r="0" b="0"/>
            <wp:docPr id="1892799054" name="image10.png" descr="A county map of North Carolina showing the expansion of the Triple P system scale-up from 2013. 33 counties are highlighted in orang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99054" name="image10.png" descr="A county map of North Carolina showing the expansion of the Triple P system scale-up from 2013. 33 counties are highlighted in orange.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3DC40" w14:textId="77777777" w:rsidR="00FB4014" w:rsidRDefault="00FB4014" w:rsidP="00AE5B78">
      <w:pPr>
        <w:ind w:left="0"/>
        <w:rPr>
          <w:rFonts w:eastAsia="Libre Baskerville"/>
        </w:rPr>
      </w:pPr>
    </w:p>
    <w:p w14:paraId="3D03A1A8" w14:textId="77777777" w:rsidR="00FB4014" w:rsidRDefault="00FB4014" w:rsidP="00024A9D">
      <w:pPr>
        <w:pStyle w:val="Caption"/>
      </w:pPr>
      <w:r w:rsidRPr="000C0241">
        <w:rPr>
          <w:b/>
          <w:bCs/>
        </w:rPr>
        <w:t xml:space="preserve">Figure </w:t>
      </w:r>
      <w:r>
        <w:rPr>
          <w:b/>
          <w:bCs/>
        </w:rPr>
        <w:t>1.</w:t>
      </w:r>
      <w:r w:rsidRPr="000C0241">
        <w:rPr>
          <w:b/>
          <w:bCs/>
        </w:rPr>
        <w:t>3</w:t>
      </w:r>
      <w:r>
        <w:t xml:space="preserve"> North Carolina Triple P System Regional Scale-Up Map Plus Non-</w:t>
      </w:r>
      <w:proofErr w:type="gramStart"/>
      <w:r>
        <w:t>scaling</w:t>
      </w:r>
      <w:proofErr w:type="gramEnd"/>
      <w:r>
        <w:t xml:space="preserve"> Triple P Counties, All Funding Sources, Early 2018. </w:t>
      </w:r>
      <w:r w:rsidRPr="0065145D">
        <w:rPr>
          <w:i/>
        </w:rPr>
        <w:t>Note</w:t>
      </w:r>
      <w:r w:rsidRPr="00B529E2">
        <w:rPr>
          <w:i/>
        </w:rPr>
        <w:t>.</w:t>
      </w:r>
      <w:r>
        <w:t xml:space="preserve"> Pale blue shading indicates non-scaling</w:t>
      </w:r>
      <w:r w:rsidRPr="00A959BC">
        <w:t xml:space="preserve"> </w:t>
      </w:r>
      <w:r>
        <w:t>counties, except Wake County, which is a scale-up county; all other shading indicates scale-up counties.</w:t>
      </w:r>
    </w:p>
    <w:p w14:paraId="5C762F5B" w14:textId="77777777" w:rsidR="00FB4014" w:rsidRDefault="00FB4014" w:rsidP="008F52B4">
      <w:pPr>
        <w:rPr>
          <w:rFonts w:eastAsia="Libre Baskerville"/>
        </w:rPr>
      </w:pPr>
    </w:p>
    <w:p w14:paraId="5CCF780A" w14:textId="534B4906" w:rsidR="008F52B4" w:rsidRDefault="008F52B4" w:rsidP="008F52B4">
      <w:pPr>
        <w:rPr>
          <w:rFonts w:eastAsia="Libre Baskerville"/>
        </w:rPr>
      </w:pPr>
      <w:r>
        <w:rPr>
          <w:noProof/>
        </w:rPr>
        <w:drawing>
          <wp:inline distT="0" distB="0" distL="0" distR="0" wp14:anchorId="0A3D54AF" wp14:editId="4CF32A94">
            <wp:extent cx="4818888" cy="1828800"/>
            <wp:effectExtent l="0" t="0" r="0" b="0"/>
            <wp:docPr id="1892799053" name="image4.png" descr="North Carolina Triple P System Regional Scale-Up Map Plus Non-scaling Triple P Counties, All Funding Sources, Early 2018. Note. Pale blue shading indicates non-scaling counties, except Wake County, which is a scale-up county; all other shading indicates scale-up counti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99053" name="image4.png" descr="North Carolina Triple P System Regional Scale-Up Map Plus Non-scaling Triple P Counties, All Funding Sources, Early 2018. Note. Pale blue shading indicates non-scaling counties, except Wake County, which is a scale-up county; all other shading indicates scale-up counties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D6B24" w14:textId="77777777" w:rsidR="00FB4014" w:rsidRDefault="00FB4014" w:rsidP="00024A9D">
      <w:pPr>
        <w:spacing w:after="200"/>
        <w:ind w:left="0"/>
        <w:rPr>
          <w:b/>
          <w:bCs/>
        </w:rPr>
      </w:pPr>
    </w:p>
    <w:p w14:paraId="6725810E" w14:textId="3FE41E5B" w:rsidR="00FB4014" w:rsidRPr="00024A9D" w:rsidRDefault="00FB4014" w:rsidP="00024A9D">
      <w:pPr>
        <w:pStyle w:val="Caption"/>
      </w:pPr>
      <w:r w:rsidRPr="00AE5B78">
        <w:rPr>
          <w:b/>
          <w:bCs/>
        </w:rPr>
        <w:t>Figure 1.4</w:t>
      </w:r>
      <w:r w:rsidRPr="00024A9D">
        <w:t xml:space="preserve"> North Carolina Triple P System Regional Coverage Map, Early 2018. Notes. Black and red dots indicate locations of regional “lead implementing agencies.” In 2023, the Wake Triple P region merged into the Durham Triple P region, leaving nine total Triple P regions.</w:t>
      </w:r>
    </w:p>
    <w:p w14:paraId="553386F6" w14:textId="142F0D8E" w:rsidR="008F52B4" w:rsidRDefault="008F52B4" w:rsidP="008F52B4">
      <w:pPr>
        <w:rPr>
          <w:rFonts w:eastAsia="Libre Baskerville"/>
        </w:rPr>
      </w:pPr>
      <w:r>
        <w:rPr>
          <w:rFonts w:ascii="Libre Baskerville" w:eastAsia="Libre Baskerville" w:hAnsi="Libre Baskerville" w:cs="Libre Baskerville"/>
          <w:noProof/>
        </w:rPr>
        <w:drawing>
          <wp:inline distT="0" distB="0" distL="0" distR="0" wp14:anchorId="6C27C72B" wp14:editId="20399849">
            <wp:extent cx="4818888" cy="1828800"/>
            <wp:effectExtent l="0" t="0" r="0" b="0"/>
            <wp:docPr id="1892799056" name="image3.png" descr="North Carolina Triple P System Regional Coverage Map, Early 2018. Notes. Black and red dots indicate locations of regional “lead implementing agencies.  In 2023, the Wake Triple P region merged into the Durham Triple P region, leaving nine total Triple P region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99056" name="image3.png" descr="North Carolina Triple P System Regional Coverage Map, Early 2018. Notes. Black and red dots indicate locations of regional “lead implementing agencies.  In 2023, the Wake Triple P region merged into the Durham Triple P region, leaving nine total Triple P regions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A2AF9" w14:textId="77777777" w:rsidR="00BA483A" w:rsidRDefault="00BA483A" w:rsidP="00BA483A">
      <w:pPr>
        <w:ind w:left="0"/>
        <w:rPr>
          <w:rFonts w:eastAsia="Libre Baskerville"/>
        </w:rPr>
      </w:pPr>
    </w:p>
    <w:p w14:paraId="6F731D4D" w14:textId="3CBEB706" w:rsidR="00C90063" w:rsidRPr="00C90063" w:rsidRDefault="00C90063" w:rsidP="00C90063">
      <w:pPr>
        <w:pStyle w:val="Footer"/>
      </w:pPr>
    </w:p>
    <w:sectPr w:rsidR="00C90063" w:rsidRPr="00C90063" w:rsidSect="000903DC">
      <w:headerReference w:type="default" r:id="rId12"/>
      <w:footerReference w:type="default" r:id="rId13"/>
      <w:pgSz w:w="12240" w:h="15840"/>
      <w:pgMar w:top="1440" w:right="1080" w:bottom="1829" w:left="1080" w:header="720" w:footer="792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AE78" w14:textId="77777777" w:rsidR="006052E5" w:rsidRDefault="006052E5" w:rsidP="005F3829">
      <w:r>
        <w:separator/>
      </w:r>
    </w:p>
  </w:endnote>
  <w:endnote w:type="continuationSeparator" w:id="0">
    <w:p w14:paraId="693F12B8" w14:textId="77777777" w:rsidR="006052E5" w:rsidRDefault="006052E5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Content>
      <w:p w14:paraId="7657C1E6" w14:textId="28A51298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CC4915" w:rsidRPr="00CC4915">
          <w:rPr>
            <w:rFonts w:eastAsia="Lato" w:cs="Open Sans"/>
            <w:color w:val="002060"/>
            <w:sz w:val="20"/>
            <w:szCs w:val="20"/>
          </w:rPr>
          <w:t>NC TRIPLE P SYSTEM OVERVIEW</w:t>
        </w:r>
      </w:p>
      <w:p w14:paraId="3603AF19" w14:textId="789F1C1A" w:rsidR="00B661F5" w:rsidRDefault="00000000" w:rsidP="005F3829">
        <w:pPr>
          <w:pStyle w:val="TableBody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F3F8" w14:textId="77777777" w:rsidR="006052E5" w:rsidRDefault="006052E5" w:rsidP="005F3829">
      <w:r>
        <w:separator/>
      </w:r>
    </w:p>
  </w:footnote>
  <w:footnote w:type="continuationSeparator" w:id="0">
    <w:p w14:paraId="71D3590A" w14:textId="77777777" w:rsidR="006052E5" w:rsidRDefault="006052E5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D5B1" w14:textId="0B0618FF" w:rsidR="0061580A" w:rsidRDefault="006806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97F1" wp14:editId="38268DBA">
              <wp:simplePos x="0" y="0"/>
              <wp:positionH relativeFrom="column">
                <wp:posOffset>105576</wp:posOffset>
              </wp:positionH>
              <wp:positionV relativeFrom="paragraph">
                <wp:posOffset>-417195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7FA508" w14:textId="77777777" w:rsidR="0061580A" w:rsidRDefault="0061580A" w:rsidP="0061580A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16ED8130" w14:textId="5D941F3F" w:rsidR="0061580A" w:rsidRDefault="0061580A" w:rsidP="0061580A">
                          <w:pPr>
                            <w:ind w:left="0"/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D9997F1" id="Rectangle 1" o:spid="_x0000_s1033" style="position:absolute;left:0;text-align:left;margin-left:8.3pt;margin-top:-32.85pt;width:40.05pt;height:3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" fillcolor="#384975" stroked="f" strokeweight="1pt">
              <v:textbox>
                <w:txbxContent>
                  <w:p w14:paraId="167FA508" w14:textId="77777777" w:rsidR="0061580A" w:rsidRDefault="0061580A" w:rsidP="0061580A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16ED8130" w14:textId="5D941F3F" w:rsidR="0061580A" w:rsidRDefault="0061580A" w:rsidP="0061580A">
                    <w:pPr>
                      <w:ind w:left="0"/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F433B"/>
    <w:multiLevelType w:val="hybridMultilevel"/>
    <w:tmpl w:val="7158C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802DD"/>
    <w:multiLevelType w:val="hybridMultilevel"/>
    <w:tmpl w:val="EB1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966B4"/>
    <w:multiLevelType w:val="multilevel"/>
    <w:tmpl w:val="93D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F2629E"/>
    <w:multiLevelType w:val="hybridMultilevel"/>
    <w:tmpl w:val="19A66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E460D"/>
    <w:multiLevelType w:val="multilevel"/>
    <w:tmpl w:val="50D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C7362E"/>
    <w:multiLevelType w:val="hybridMultilevel"/>
    <w:tmpl w:val="078A913A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D5903"/>
    <w:multiLevelType w:val="hybridMultilevel"/>
    <w:tmpl w:val="31784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61F"/>
    <w:multiLevelType w:val="multilevel"/>
    <w:tmpl w:val="68C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09FE13D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96FF5"/>
    <w:multiLevelType w:val="hybridMultilevel"/>
    <w:tmpl w:val="93E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06D6F"/>
    <w:multiLevelType w:val="hybridMultilevel"/>
    <w:tmpl w:val="3D321BAE"/>
    <w:lvl w:ilvl="0" w:tplc="6D0CE080">
      <w:start w:val="1"/>
      <w:numFmt w:val="bullet"/>
      <w:pStyle w:val="txtEnding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AA68A3"/>
    <w:multiLevelType w:val="multilevel"/>
    <w:tmpl w:val="0B3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FE5E75"/>
    <w:multiLevelType w:val="multilevel"/>
    <w:tmpl w:val="8E9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265D4A"/>
    <w:multiLevelType w:val="hybridMultilevel"/>
    <w:tmpl w:val="477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245838"/>
    <w:multiLevelType w:val="multilevel"/>
    <w:tmpl w:val="62826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9F75611"/>
    <w:multiLevelType w:val="hybridMultilevel"/>
    <w:tmpl w:val="458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972CB"/>
    <w:multiLevelType w:val="multilevel"/>
    <w:tmpl w:val="71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6352C3"/>
    <w:multiLevelType w:val="hybridMultilevel"/>
    <w:tmpl w:val="866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20DAF"/>
    <w:multiLevelType w:val="multilevel"/>
    <w:tmpl w:val="533C8F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F3AE8"/>
    <w:multiLevelType w:val="hybridMultilevel"/>
    <w:tmpl w:val="13F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E1D85"/>
    <w:multiLevelType w:val="hybridMultilevel"/>
    <w:tmpl w:val="77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B6A18"/>
    <w:multiLevelType w:val="hybridMultilevel"/>
    <w:tmpl w:val="B26A2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914C8E"/>
    <w:multiLevelType w:val="hybridMultilevel"/>
    <w:tmpl w:val="A556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046A8"/>
    <w:multiLevelType w:val="multilevel"/>
    <w:tmpl w:val="98244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83451E3"/>
    <w:multiLevelType w:val="hybridMultilevel"/>
    <w:tmpl w:val="31BA33A2"/>
    <w:lvl w:ilvl="0" w:tplc="499E84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3462E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D52FA"/>
    <w:multiLevelType w:val="hybridMultilevel"/>
    <w:tmpl w:val="029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957B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057E8"/>
    <w:multiLevelType w:val="multilevel"/>
    <w:tmpl w:val="38BE2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D4D6706"/>
    <w:multiLevelType w:val="hybridMultilevel"/>
    <w:tmpl w:val="27381988"/>
    <w:lvl w:ilvl="0" w:tplc="E3283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69F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BF673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DA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6A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8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F0626"/>
    <w:multiLevelType w:val="hybridMultilevel"/>
    <w:tmpl w:val="2FA8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BC2C41"/>
    <w:multiLevelType w:val="multilevel"/>
    <w:tmpl w:val="F0F21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21C6CF2"/>
    <w:multiLevelType w:val="hybridMultilevel"/>
    <w:tmpl w:val="4C7EF00E"/>
    <w:lvl w:ilvl="0" w:tplc="FF96E400">
      <w:start w:val="1"/>
      <w:numFmt w:val="bullet"/>
      <w:pStyle w:val="txtEnd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04752"/>
    <w:multiLevelType w:val="hybridMultilevel"/>
    <w:tmpl w:val="A27E5424"/>
    <w:lvl w:ilvl="0" w:tplc="0A36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01142"/>
    <w:multiLevelType w:val="hybridMultilevel"/>
    <w:tmpl w:val="66A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03590"/>
    <w:multiLevelType w:val="hybridMultilevel"/>
    <w:tmpl w:val="163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07BAB"/>
    <w:multiLevelType w:val="hybridMultilevel"/>
    <w:tmpl w:val="471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E10ED"/>
    <w:multiLevelType w:val="multilevel"/>
    <w:tmpl w:val="FFF86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41F0B9B"/>
    <w:multiLevelType w:val="multilevel"/>
    <w:tmpl w:val="B40CB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7304ED8"/>
    <w:multiLevelType w:val="hybridMultilevel"/>
    <w:tmpl w:val="763C371E"/>
    <w:lvl w:ilvl="0" w:tplc="C0F61D78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1384B"/>
    <w:multiLevelType w:val="hybridMultilevel"/>
    <w:tmpl w:val="0132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836CB7"/>
    <w:multiLevelType w:val="hybridMultilevel"/>
    <w:tmpl w:val="F826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FF482C"/>
    <w:multiLevelType w:val="multilevel"/>
    <w:tmpl w:val="F9A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2C79BE"/>
    <w:multiLevelType w:val="multilevel"/>
    <w:tmpl w:val="99A49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6F83118"/>
    <w:multiLevelType w:val="hybridMultilevel"/>
    <w:tmpl w:val="5D0C1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515F8D"/>
    <w:multiLevelType w:val="multilevel"/>
    <w:tmpl w:val="E34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93B680B"/>
    <w:multiLevelType w:val="hybridMultilevel"/>
    <w:tmpl w:val="579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F2A5A"/>
    <w:multiLevelType w:val="multilevel"/>
    <w:tmpl w:val="E29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A302D14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06D5B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66D4D"/>
    <w:multiLevelType w:val="hybridMultilevel"/>
    <w:tmpl w:val="E976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11E1E"/>
    <w:multiLevelType w:val="hybridMultilevel"/>
    <w:tmpl w:val="19B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AA34AF"/>
    <w:multiLevelType w:val="multilevel"/>
    <w:tmpl w:val="A322F2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13D3A6D"/>
    <w:multiLevelType w:val="multilevel"/>
    <w:tmpl w:val="5148C1B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FA79FE"/>
    <w:multiLevelType w:val="hybridMultilevel"/>
    <w:tmpl w:val="9EFC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60FC6"/>
    <w:multiLevelType w:val="hybridMultilevel"/>
    <w:tmpl w:val="9C584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486754"/>
    <w:multiLevelType w:val="hybridMultilevel"/>
    <w:tmpl w:val="7E1ED3C6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038BF"/>
    <w:multiLevelType w:val="hybridMultilevel"/>
    <w:tmpl w:val="63A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947C04"/>
    <w:multiLevelType w:val="multilevel"/>
    <w:tmpl w:val="EF205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D587C"/>
    <w:multiLevelType w:val="hybridMultilevel"/>
    <w:tmpl w:val="D056EBC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509875473">
    <w:abstractNumId w:val="1"/>
  </w:num>
  <w:num w:numId="2" w16cid:durableId="1274092904">
    <w:abstractNumId w:val="1"/>
    <w:lvlOverride w:ilvl="0">
      <w:startOverride w:val="1"/>
    </w:lvlOverride>
  </w:num>
  <w:num w:numId="3" w16cid:durableId="254943772">
    <w:abstractNumId w:val="23"/>
  </w:num>
  <w:num w:numId="4" w16cid:durableId="1643997132">
    <w:abstractNumId w:val="0"/>
  </w:num>
  <w:num w:numId="5" w16cid:durableId="1427731844">
    <w:abstractNumId w:val="66"/>
  </w:num>
  <w:num w:numId="6" w16cid:durableId="746877472">
    <w:abstractNumId w:val="65"/>
  </w:num>
  <w:num w:numId="7" w16cid:durableId="1786773656">
    <w:abstractNumId w:val="9"/>
  </w:num>
  <w:num w:numId="8" w16cid:durableId="1897007784">
    <w:abstractNumId w:val="34"/>
  </w:num>
  <w:num w:numId="9" w16cid:durableId="225532596">
    <w:abstractNumId w:val="7"/>
  </w:num>
  <w:num w:numId="10" w16cid:durableId="1015109364">
    <w:abstractNumId w:val="31"/>
  </w:num>
  <w:num w:numId="11" w16cid:durableId="455635238">
    <w:abstractNumId w:val="41"/>
  </w:num>
  <w:num w:numId="12" w16cid:durableId="1306620319">
    <w:abstractNumId w:val="57"/>
  </w:num>
  <w:num w:numId="13" w16cid:durableId="869532227">
    <w:abstractNumId w:val="63"/>
  </w:num>
  <w:num w:numId="14" w16cid:durableId="92555518">
    <w:abstractNumId w:val="58"/>
  </w:num>
  <w:num w:numId="15" w16cid:durableId="367069993">
    <w:abstractNumId w:val="29"/>
  </w:num>
  <w:num w:numId="16" w16cid:durableId="723454207">
    <w:abstractNumId w:val="12"/>
  </w:num>
  <w:num w:numId="17" w16cid:durableId="753743320">
    <w:abstractNumId w:val="56"/>
  </w:num>
  <w:num w:numId="18" w16cid:durableId="654845919">
    <w:abstractNumId w:val="54"/>
  </w:num>
  <w:num w:numId="19" w16cid:durableId="637421270">
    <w:abstractNumId w:val="50"/>
  </w:num>
  <w:num w:numId="20" w16cid:durableId="1093360072">
    <w:abstractNumId w:val="55"/>
  </w:num>
  <w:num w:numId="21" w16cid:durableId="105000690">
    <w:abstractNumId w:val="16"/>
  </w:num>
  <w:num w:numId="22" w16cid:durableId="751973327">
    <w:abstractNumId w:val="8"/>
  </w:num>
  <w:num w:numId="23" w16cid:durableId="1507089947">
    <w:abstractNumId w:val="21"/>
  </w:num>
  <w:num w:numId="24" w16cid:durableId="2144732420">
    <w:abstractNumId w:val="17"/>
  </w:num>
  <w:num w:numId="25" w16cid:durableId="400904157">
    <w:abstractNumId w:val="6"/>
  </w:num>
  <w:num w:numId="26" w16cid:durableId="467403196">
    <w:abstractNumId w:val="37"/>
  </w:num>
  <w:num w:numId="27" w16cid:durableId="915362102">
    <w:abstractNumId w:val="10"/>
  </w:num>
  <w:num w:numId="28" w16cid:durableId="1576084713">
    <w:abstractNumId w:val="49"/>
  </w:num>
  <w:num w:numId="29" w16cid:durableId="1127285350">
    <w:abstractNumId w:val="64"/>
  </w:num>
  <w:num w:numId="30" w16cid:durableId="791752577">
    <w:abstractNumId w:val="32"/>
  </w:num>
  <w:num w:numId="31" w16cid:durableId="1121532902">
    <w:abstractNumId w:val="70"/>
  </w:num>
  <w:num w:numId="32" w16cid:durableId="585773582">
    <w:abstractNumId w:val="42"/>
  </w:num>
  <w:num w:numId="33" w16cid:durableId="526529685">
    <w:abstractNumId w:val="18"/>
  </w:num>
  <w:num w:numId="34" w16cid:durableId="1573924017">
    <w:abstractNumId w:val="28"/>
  </w:num>
  <w:num w:numId="35" w16cid:durableId="1061559268">
    <w:abstractNumId w:val="5"/>
  </w:num>
  <w:num w:numId="36" w16cid:durableId="722220672">
    <w:abstractNumId w:val="25"/>
  </w:num>
  <w:num w:numId="37" w16cid:durableId="2015648837">
    <w:abstractNumId w:val="28"/>
    <w:lvlOverride w:ilvl="0">
      <w:startOverride w:val="1"/>
    </w:lvlOverride>
  </w:num>
  <w:num w:numId="38" w16cid:durableId="189992886">
    <w:abstractNumId w:val="51"/>
  </w:num>
  <w:num w:numId="39" w16cid:durableId="798257106">
    <w:abstractNumId w:val="24"/>
  </w:num>
  <w:num w:numId="40" w16cid:durableId="1458796170">
    <w:abstractNumId w:val="60"/>
  </w:num>
  <w:num w:numId="41" w16cid:durableId="985429762">
    <w:abstractNumId w:val="59"/>
  </w:num>
  <w:num w:numId="42" w16cid:durableId="592477942">
    <w:abstractNumId w:val="2"/>
  </w:num>
  <w:num w:numId="43" w16cid:durableId="664670678">
    <w:abstractNumId w:val="68"/>
  </w:num>
  <w:num w:numId="44" w16cid:durableId="442841348">
    <w:abstractNumId w:val="62"/>
  </w:num>
  <w:num w:numId="45" w16cid:durableId="1821575096">
    <w:abstractNumId w:val="3"/>
  </w:num>
  <w:num w:numId="46" w16cid:durableId="1795828116">
    <w:abstractNumId w:val="69"/>
  </w:num>
  <w:num w:numId="47" w16cid:durableId="900210034">
    <w:abstractNumId w:val="45"/>
  </w:num>
  <w:num w:numId="48" w16cid:durableId="635456117">
    <w:abstractNumId w:val="22"/>
  </w:num>
  <w:num w:numId="49" w16cid:durableId="1204827950">
    <w:abstractNumId w:val="19"/>
  </w:num>
  <w:num w:numId="50" w16cid:durableId="1469664098">
    <w:abstractNumId w:val="11"/>
  </w:num>
  <w:num w:numId="51" w16cid:durableId="1111512196">
    <w:abstractNumId w:val="35"/>
  </w:num>
  <w:num w:numId="52" w16cid:durableId="1970235500">
    <w:abstractNumId w:val="53"/>
  </w:num>
  <w:num w:numId="53" w16cid:durableId="482432313">
    <w:abstractNumId w:val="26"/>
  </w:num>
  <w:num w:numId="54" w16cid:durableId="746536776">
    <w:abstractNumId w:val="14"/>
  </w:num>
  <w:num w:numId="55" w16cid:durableId="1379548821">
    <w:abstractNumId w:val="36"/>
  </w:num>
  <w:num w:numId="56" w16cid:durableId="2066098348">
    <w:abstractNumId w:val="43"/>
  </w:num>
  <w:num w:numId="57" w16cid:durableId="36009232">
    <w:abstractNumId w:val="33"/>
  </w:num>
  <w:num w:numId="58" w16cid:durableId="1470200739">
    <w:abstractNumId w:val="46"/>
  </w:num>
  <w:num w:numId="59" w16cid:durableId="1884554176">
    <w:abstractNumId w:val="61"/>
  </w:num>
  <w:num w:numId="60" w16cid:durableId="549923271">
    <w:abstractNumId w:val="39"/>
  </w:num>
  <w:num w:numId="61" w16cid:durableId="1968124216">
    <w:abstractNumId w:val="30"/>
  </w:num>
  <w:num w:numId="62" w16cid:durableId="2030139300">
    <w:abstractNumId w:val="20"/>
  </w:num>
  <w:num w:numId="63" w16cid:durableId="1473205752">
    <w:abstractNumId w:val="47"/>
  </w:num>
  <w:num w:numId="64" w16cid:durableId="2119593424">
    <w:abstractNumId w:val="13"/>
  </w:num>
  <w:num w:numId="65" w16cid:durableId="1567254028">
    <w:abstractNumId w:val="67"/>
  </w:num>
  <w:num w:numId="66" w16cid:durableId="409929883">
    <w:abstractNumId w:val="38"/>
  </w:num>
  <w:num w:numId="67" w16cid:durableId="1375159502">
    <w:abstractNumId w:val="44"/>
  </w:num>
  <w:num w:numId="68" w16cid:durableId="1195733774">
    <w:abstractNumId w:val="27"/>
  </w:num>
  <w:num w:numId="69" w16cid:durableId="464617331">
    <w:abstractNumId w:val="52"/>
  </w:num>
  <w:num w:numId="70" w16cid:durableId="1264190248">
    <w:abstractNumId w:val="40"/>
  </w:num>
  <w:num w:numId="71" w16cid:durableId="62141988">
    <w:abstractNumId w:val="4"/>
  </w:num>
  <w:num w:numId="72" w16cid:durableId="405345126">
    <w:abstractNumId w:val="15"/>
  </w:num>
  <w:num w:numId="73" w16cid:durableId="115923149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A"/>
    <w:rsid w:val="0000345F"/>
    <w:rsid w:val="0001385C"/>
    <w:rsid w:val="00024A9D"/>
    <w:rsid w:val="00035F7D"/>
    <w:rsid w:val="00041161"/>
    <w:rsid w:val="000429F2"/>
    <w:rsid w:val="00065645"/>
    <w:rsid w:val="00071496"/>
    <w:rsid w:val="00077C9B"/>
    <w:rsid w:val="00081BE1"/>
    <w:rsid w:val="00086FED"/>
    <w:rsid w:val="000903DC"/>
    <w:rsid w:val="00091485"/>
    <w:rsid w:val="000935D4"/>
    <w:rsid w:val="000A0D7C"/>
    <w:rsid w:val="000A65A5"/>
    <w:rsid w:val="000B5263"/>
    <w:rsid w:val="000B6850"/>
    <w:rsid w:val="000C1566"/>
    <w:rsid w:val="000E5668"/>
    <w:rsid w:val="000F791B"/>
    <w:rsid w:val="00110010"/>
    <w:rsid w:val="00137C2C"/>
    <w:rsid w:val="00140E60"/>
    <w:rsid w:val="00156841"/>
    <w:rsid w:val="001820FD"/>
    <w:rsid w:val="00186DEE"/>
    <w:rsid w:val="00191650"/>
    <w:rsid w:val="001A122C"/>
    <w:rsid w:val="001B3110"/>
    <w:rsid w:val="001C5AC8"/>
    <w:rsid w:val="00214BDF"/>
    <w:rsid w:val="0023380F"/>
    <w:rsid w:val="002433C8"/>
    <w:rsid w:val="00245ACC"/>
    <w:rsid w:val="00256C32"/>
    <w:rsid w:val="00265F66"/>
    <w:rsid w:val="002938A9"/>
    <w:rsid w:val="00297814"/>
    <w:rsid w:val="002A5798"/>
    <w:rsid w:val="002A7CD7"/>
    <w:rsid w:val="002A7D42"/>
    <w:rsid w:val="002D19F8"/>
    <w:rsid w:val="002E0546"/>
    <w:rsid w:val="002E6E87"/>
    <w:rsid w:val="002F02AE"/>
    <w:rsid w:val="002F27C5"/>
    <w:rsid w:val="002F3C1D"/>
    <w:rsid w:val="00301298"/>
    <w:rsid w:val="0033373A"/>
    <w:rsid w:val="0034610F"/>
    <w:rsid w:val="003562E9"/>
    <w:rsid w:val="00362DA3"/>
    <w:rsid w:val="00381DB0"/>
    <w:rsid w:val="00390120"/>
    <w:rsid w:val="003D4013"/>
    <w:rsid w:val="003D45D3"/>
    <w:rsid w:val="003D5CEB"/>
    <w:rsid w:val="003F63C2"/>
    <w:rsid w:val="00400456"/>
    <w:rsid w:val="00433336"/>
    <w:rsid w:val="00437681"/>
    <w:rsid w:val="0044082F"/>
    <w:rsid w:val="00443169"/>
    <w:rsid w:val="004515BC"/>
    <w:rsid w:val="0045167A"/>
    <w:rsid w:val="0047287D"/>
    <w:rsid w:val="00473E69"/>
    <w:rsid w:val="004836BB"/>
    <w:rsid w:val="0048504D"/>
    <w:rsid w:val="00495E90"/>
    <w:rsid w:val="004974C5"/>
    <w:rsid w:val="004A20EF"/>
    <w:rsid w:val="004C7BC2"/>
    <w:rsid w:val="004E3CDE"/>
    <w:rsid w:val="004E50F5"/>
    <w:rsid w:val="004F1E39"/>
    <w:rsid w:val="004F3458"/>
    <w:rsid w:val="004F4BE3"/>
    <w:rsid w:val="004F5B55"/>
    <w:rsid w:val="005041CD"/>
    <w:rsid w:val="00510884"/>
    <w:rsid w:val="005176AC"/>
    <w:rsid w:val="00536F5E"/>
    <w:rsid w:val="00537520"/>
    <w:rsid w:val="00550E57"/>
    <w:rsid w:val="00562892"/>
    <w:rsid w:val="005655C2"/>
    <w:rsid w:val="00570D30"/>
    <w:rsid w:val="00594461"/>
    <w:rsid w:val="005B308E"/>
    <w:rsid w:val="005B3C1A"/>
    <w:rsid w:val="005C6370"/>
    <w:rsid w:val="005C676B"/>
    <w:rsid w:val="005D772D"/>
    <w:rsid w:val="005F3829"/>
    <w:rsid w:val="006052E5"/>
    <w:rsid w:val="006057C3"/>
    <w:rsid w:val="0061580A"/>
    <w:rsid w:val="00615C3F"/>
    <w:rsid w:val="00623929"/>
    <w:rsid w:val="00627F51"/>
    <w:rsid w:val="0066240F"/>
    <w:rsid w:val="006707EF"/>
    <w:rsid w:val="00675E63"/>
    <w:rsid w:val="0068068D"/>
    <w:rsid w:val="00695E8D"/>
    <w:rsid w:val="006A5B3F"/>
    <w:rsid w:val="006A6FAD"/>
    <w:rsid w:val="006B2C82"/>
    <w:rsid w:val="006D39A7"/>
    <w:rsid w:val="006D3D88"/>
    <w:rsid w:val="006F2507"/>
    <w:rsid w:val="006F5DDB"/>
    <w:rsid w:val="006F6CCE"/>
    <w:rsid w:val="00713065"/>
    <w:rsid w:val="0071347A"/>
    <w:rsid w:val="00726376"/>
    <w:rsid w:val="00743796"/>
    <w:rsid w:val="00745E42"/>
    <w:rsid w:val="0076361D"/>
    <w:rsid w:val="00772A8A"/>
    <w:rsid w:val="00781718"/>
    <w:rsid w:val="00851604"/>
    <w:rsid w:val="00856661"/>
    <w:rsid w:val="008760B4"/>
    <w:rsid w:val="008767C7"/>
    <w:rsid w:val="0088681C"/>
    <w:rsid w:val="008A0824"/>
    <w:rsid w:val="008C29B5"/>
    <w:rsid w:val="008D5ADF"/>
    <w:rsid w:val="008E43E7"/>
    <w:rsid w:val="008F0FD9"/>
    <w:rsid w:val="008F12BB"/>
    <w:rsid w:val="008F52B4"/>
    <w:rsid w:val="0090628E"/>
    <w:rsid w:val="009112D9"/>
    <w:rsid w:val="009204C3"/>
    <w:rsid w:val="00924435"/>
    <w:rsid w:val="00940359"/>
    <w:rsid w:val="00940BB8"/>
    <w:rsid w:val="00947301"/>
    <w:rsid w:val="00955FAA"/>
    <w:rsid w:val="00963B1C"/>
    <w:rsid w:val="009679D3"/>
    <w:rsid w:val="00972233"/>
    <w:rsid w:val="0097475F"/>
    <w:rsid w:val="0099424F"/>
    <w:rsid w:val="00996BC5"/>
    <w:rsid w:val="009B0369"/>
    <w:rsid w:val="009B18EB"/>
    <w:rsid w:val="009C7AD8"/>
    <w:rsid w:val="009D007D"/>
    <w:rsid w:val="009E2298"/>
    <w:rsid w:val="009E3078"/>
    <w:rsid w:val="009E78F7"/>
    <w:rsid w:val="009F0702"/>
    <w:rsid w:val="009F582C"/>
    <w:rsid w:val="00A01693"/>
    <w:rsid w:val="00A01F9A"/>
    <w:rsid w:val="00A041B2"/>
    <w:rsid w:val="00A25946"/>
    <w:rsid w:val="00A36CF7"/>
    <w:rsid w:val="00A36E8E"/>
    <w:rsid w:val="00A458CA"/>
    <w:rsid w:val="00A519D9"/>
    <w:rsid w:val="00A90EE2"/>
    <w:rsid w:val="00A97B53"/>
    <w:rsid w:val="00AA2423"/>
    <w:rsid w:val="00AA25E7"/>
    <w:rsid w:val="00AB3577"/>
    <w:rsid w:val="00AC35BF"/>
    <w:rsid w:val="00AC707E"/>
    <w:rsid w:val="00AD358C"/>
    <w:rsid w:val="00AE5B78"/>
    <w:rsid w:val="00AE5F4D"/>
    <w:rsid w:val="00AE7436"/>
    <w:rsid w:val="00AF1195"/>
    <w:rsid w:val="00AF1A5D"/>
    <w:rsid w:val="00AF4825"/>
    <w:rsid w:val="00B01A12"/>
    <w:rsid w:val="00B131AE"/>
    <w:rsid w:val="00B14237"/>
    <w:rsid w:val="00B221B7"/>
    <w:rsid w:val="00B32B83"/>
    <w:rsid w:val="00B62991"/>
    <w:rsid w:val="00B661F5"/>
    <w:rsid w:val="00B85377"/>
    <w:rsid w:val="00BA019A"/>
    <w:rsid w:val="00BA1F88"/>
    <w:rsid w:val="00BA483A"/>
    <w:rsid w:val="00BC3F4A"/>
    <w:rsid w:val="00BC67E3"/>
    <w:rsid w:val="00BD61AC"/>
    <w:rsid w:val="00BF485A"/>
    <w:rsid w:val="00C020A9"/>
    <w:rsid w:val="00C07174"/>
    <w:rsid w:val="00C07AA8"/>
    <w:rsid w:val="00C15ACF"/>
    <w:rsid w:val="00C22C50"/>
    <w:rsid w:val="00C303CA"/>
    <w:rsid w:val="00C30EEC"/>
    <w:rsid w:val="00C32AD9"/>
    <w:rsid w:val="00C35125"/>
    <w:rsid w:val="00C55543"/>
    <w:rsid w:val="00C634E1"/>
    <w:rsid w:val="00C65132"/>
    <w:rsid w:val="00C66CE8"/>
    <w:rsid w:val="00C67D63"/>
    <w:rsid w:val="00C81947"/>
    <w:rsid w:val="00C90063"/>
    <w:rsid w:val="00C90CB4"/>
    <w:rsid w:val="00CB4DDD"/>
    <w:rsid w:val="00CC4915"/>
    <w:rsid w:val="00CD0399"/>
    <w:rsid w:val="00D0354C"/>
    <w:rsid w:val="00D104E0"/>
    <w:rsid w:val="00D14A23"/>
    <w:rsid w:val="00D26B84"/>
    <w:rsid w:val="00D3777C"/>
    <w:rsid w:val="00D4486F"/>
    <w:rsid w:val="00D5211B"/>
    <w:rsid w:val="00D54EFD"/>
    <w:rsid w:val="00D559ED"/>
    <w:rsid w:val="00D679D1"/>
    <w:rsid w:val="00D87CDA"/>
    <w:rsid w:val="00DD6A60"/>
    <w:rsid w:val="00DE0C0E"/>
    <w:rsid w:val="00DF7DAD"/>
    <w:rsid w:val="00E1021F"/>
    <w:rsid w:val="00E34815"/>
    <w:rsid w:val="00E4509A"/>
    <w:rsid w:val="00ED7F6F"/>
    <w:rsid w:val="00EF0823"/>
    <w:rsid w:val="00EF5222"/>
    <w:rsid w:val="00F1585E"/>
    <w:rsid w:val="00F361C2"/>
    <w:rsid w:val="00F44508"/>
    <w:rsid w:val="00F46C61"/>
    <w:rsid w:val="00F66005"/>
    <w:rsid w:val="00F75B7F"/>
    <w:rsid w:val="00F81167"/>
    <w:rsid w:val="00F8143D"/>
    <w:rsid w:val="00F85157"/>
    <w:rsid w:val="00FA1B1C"/>
    <w:rsid w:val="00FB4014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40FA"/>
  <w15:chartTrackingRefBased/>
  <w15:docId w15:val="{99497FB4-DB54-B845-B9E3-709C879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9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0B4"/>
    <w:pPr>
      <w:keepNext/>
      <w:keepLines/>
      <w:pBdr>
        <w:top w:val="single" w:sz="24" w:space="18" w:color="2A2A2A" w:themeColor="text2"/>
      </w:pBdr>
      <w:spacing w:before="240" w:after="320"/>
      <w:ind w:right="360"/>
      <w:contextualSpacing/>
      <w:outlineLvl w:val="1"/>
    </w:pPr>
    <w:rPr>
      <w:rFonts w:eastAsiaTheme="majorEastAsia" w:cstheme="majorBidi"/>
      <w:b/>
      <w:noProof/>
      <w:color w:val="0E7C9E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4836BB"/>
    <w:pPr>
      <w:tabs>
        <w:tab w:val="left" w:pos="8190"/>
      </w:tabs>
      <w:spacing w:before="240" w:after="240"/>
      <w:ind w:right="2880"/>
      <w:outlineLvl w:val="2"/>
    </w:pPr>
    <w:rPr>
      <w:b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63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60B4"/>
    <w:rPr>
      <w:rFonts w:ascii="Open Sans" w:eastAsiaTheme="majorEastAsia" w:hAnsi="Open Sans" w:cstheme="majorBidi"/>
      <w:b/>
      <w:noProof/>
      <w:color w:val="0E7C9E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34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4836BB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836BB"/>
    <w:pPr>
      <w:spacing w:before="360" w:after="360"/>
      <w:contextualSpacing/>
    </w:pPr>
    <w:rPr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36BB"/>
    <w:rPr>
      <w:rFonts w:ascii="Open Sans" w:eastAsia="Times New Roman" w:hAnsi="Open Sans" w:cs="Times New Roman"/>
      <w:i/>
      <w:iCs/>
      <w:color w:val="205F55" w:themeColor="accent5" w:themeShade="BF"/>
      <w:lang w:eastAsia="en-US"/>
    </w:rPr>
  </w:style>
  <w:style w:type="paragraph" w:customStyle="1" w:styleId="CalloutforCalloutBox">
    <w:name w:val="Callout for Callout Box"/>
    <w:basedOn w:val="Normal"/>
    <w:qFormat/>
    <w:rsid w:val="004836BB"/>
    <w:pPr>
      <w:shd w:val="clear" w:color="auto" w:fill="D7E5EC" w:themeFill="accent2" w:themeFillTint="33"/>
    </w:pPr>
    <w:rPr>
      <w:rFonts w:eastAsia="Libre Baskerville"/>
      <w:i/>
      <w:iCs/>
    </w:rPr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024A9D"/>
    <w:pPr>
      <w:widowControl w:val="0"/>
      <w:ind w:left="0"/>
    </w:pPr>
    <w:rPr>
      <w:sz w:val="20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44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01385C"/>
    <w:pPr>
      <w:ind w:hanging="216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64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sid w:val="008760B4"/>
    <w:pPr>
      <w:spacing w:after="160"/>
      <w:ind w:left="0"/>
    </w:pPr>
    <w:rPr>
      <w:rFonts w:ascii="Calibri" w:eastAsia="MS Mincho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0B4"/>
    <w:rPr>
      <w:rFonts w:ascii="Calibri" w:eastAsia="MS Mincho" w:hAnsi="Calibri" w:cs="Calibri"/>
      <w:color w:val="auto"/>
      <w:sz w:val="20"/>
      <w:szCs w:val="20"/>
      <w:lang w:eastAsia="en-US"/>
    </w:rPr>
  </w:style>
  <w:style w:type="paragraph" w:customStyle="1" w:styleId="textAcknowledgement">
    <w:name w:val="textAcknowledgement"/>
    <w:basedOn w:val="Normal"/>
    <w:qFormat/>
    <w:rsid w:val="009204C3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9204C3"/>
    <w:pPr>
      <w:numPr>
        <w:numId w:val="66"/>
      </w:numPr>
      <w:ind w:left="2520" w:hanging="270"/>
    </w:pPr>
    <w:rPr>
      <w:sz w:val="20"/>
      <w:szCs w:val="20"/>
    </w:rPr>
  </w:style>
  <w:style w:type="paragraph" w:customStyle="1" w:styleId="H6">
    <w:name w:val="H6"/>
    <w:basedOn w:val="Heading5"/>
    <w:qFormat/>
    <w:rsid w:val="0001385C"/>
    <w:pPr>
      <w:ind w:left="90" w:hanging="90"/>
    </w:pPr>
  </w:style>
  <w:style w:type="paragraph" w:customStyle="1" w:styleId="txtEnding">
    <w:name w:val="txtEnding"/>
    <w:basedOn w:val="TableBody"/>
    <w:qFormat/>
    <w:rsid w:val="0001385C"/>
    <w:rPr>
      <w:rFonts w:eastAsia="Lato"/>
    </w:rPr>
  </w:style>
  <w:style w:type="paragraph" w:customStyle="1" w:styleId="txtEndingBullet">
    <w:name w:val="txtEndingBullet"/>
    <w:basedOn w:val="TableBody"/>
    <w:qFormat/>
    <w:rsid w:val="0001385C"/>
    <w:pPr>
      <w:numPr>
        <w:numId w:val="70"/>
      </w:numPr>
    </w:pPr>
    <w:rPr>
      <w:rFonts w:eastAsia="Lato"/>
    </w:rPr>
  </w:style>
  <w:style w:type="paragraph" w:customStyle="1" w:styleId="txtEndingBullet2">
    <w:name w:val="txtEndingBullet2"/>
    <w:basedOn w:val="TableBody"/>
    <w:qFormat/>
    <w:rsid w:val="0001385C"/>
    <w:pPr>
      <w:numPr>
        <w:numId w:val="72"/>
      </w:numPr>
    </w:pPr>
    <w:rPr>
      <w:rFonts w:eastAsia="Lato"/>
    </w:rPr>
  </w:style>
  <w:style w:type="paragraph" w:styleId="Header">
    <w:name w:val="header"/>
    <w:basedOn w:val="Normal"/>
    <w:link w:val="HeaderChar"/>
    <w:uiPriority w:val="99"/>
    <w:unhideWhenUsed/>
    <w:qFormat/>
    <w:rsid w:val="0061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0A"/>
    <w:rPr>
      <w:rFonts w:ascii="Open Sans" w:eastAsia="Times New Roman" w:hAnsi="Open Sans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13A9F-C83D-DC47-A02B-B733E45600AD}">
  <we:reference id="wa104380278" version="1.0.0.6" store="en-US" storeType="OMEX"/>
  <we:alternateReferences>
    <we:reference id="WA104380278" version="1.0.0.6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4</cp:revision>
  <dcterms:created xsi:type="dcterms:W3CDTF">2024-06-10T17:55:00Z</dcterms:created>
  <dcterms:modified xsi:type="dcterms:W3CDTF">2024-06-17T17:30:00Z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