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16269" w14:textId="77777777" w:rsidR="000A0D7C" w:rsidRDefault="000A0D7C" w:rsidP="000A0D7C">
      <w:pPr>
        <w:pStyle w:val="Heading1"/>
        <w:ind w:left="0"/>
      </w:pPr>
      <w:r>
        <w:drawing>
          <wp:anchor distT="0" distB="0" distL="114300" distR="114300" simplePos="0" relativeHeight="251662336" behindDoc="1" locked="0" layoutInCell="1" allowOverlap="1" wp14:anchorId="5D9CD08E" wp14:editId="7CC9B626">
            <wp:simplePos x="0" y="0"/>
            <wp:positionH relativeFrom="column">
              <wp:posOffset>6985</wp:posOffset>
            </wp:positionH>
            <wp:positionV relativeFrom="paragraph">
              <wp:posOffset>-685556</wp:posOffset>
            </wp:positionV>
            <wp:extent cx="6569108" cy="9294343"/>
            <wp:effectExtent l="0" t="0" r="0" b="2540"/>
            <wp:wrapNone/>
            <wp:docPr id="1214514391" name="Picture 1" descr="Decorative Cover page with logo of Implementation Capacity for Triple P and UNC Frank Porter Graham Child Development Institu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391" name="Picture 1" descr="Decorative Cover page with logo of Implementation Capacity for Triple P and UNC Frank Porter Graham Child Development Institut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9108" cy="9294343"/>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inline distT="0" distB="0" distL="0" distR="0" wp14:anchorId="7EECFF30" wp14:editId="19E21D7F">
                <wp:extent cx="6400800" cy="1764145"/>
                <wp:effectExtent l="0" t="0" r="0" b="0"/>
                <wp:docPr id="1062421415" name="Text Box 2" descr="BRIEF 1&#13;&#10;Effective Implementation Systems: Partners &amp; Capacities&#13;&#10;"/>
                <wp:cNvGraphicFramePr/>
                <a:graphic xmlns:a="http://schemas.openxmlformats.org/drawingml/2006/main">
                  <a:graphicData uri="http://schemas.microsoft.com/office/word/2010/wordprocessingShape">
                    <wps:wsp>
                      <wps:cNvSpPr txBox="1"/>
                      <wps:spPr>
                        <a:xfrm>
                          <a:off x="0" y="0"/>
                          <a:ext cx="6400800" cy="1764145"/>
                        </a:xfrm>
                        <a:prstGeom prst="rect">
                          <a:avLst/>
                        </a:prstGeom>
                        <a:noFill/>
                        <a:ln w="6350">
                          <a:noFill/>
                        </a:ln>
                      </wps:spPr>
                      <wps:txbx>
                        <w:txbxContent>
                          <w:p w14:paraId="1F7B97F6" w14:textId="2541668A"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sidR="00974A8E">
                              <w:rPr>
                                <w:b/>
                                <w:bCs/>
                                <w:i w:val="0"/>
                                <w:iCs w:val="0"/>
                                <w:color w:val="002060"/>
                                <w:sz w:val="32"/>
                                <w:szCs w:val="32"/>
                              </w:rPr>
                              <w:t>4</w:t>
                            </w:r>
                          </w:p>
                          <w:p w14:paraId="638187F0" w14:textId="5A5D1E36" w:rsidR="000A0D7C" w:rsidRPr="00086FED" w:rsidRDefault="000A0D7C" w:rsidP="002C36C2">
                            <w:pPr>
                              <w:pStyle w:val="Heading1"/>
                              <w:ind w:left="0"/>
                            </w:pPr>
                          </w:p>
                        </w:txbxContent>
                      </wps:txbx>
                      <wps:bodyPr rot="0" spcFirstLastPara="0" vertOverflow="overflow" horzOverflow="overflow" vert="horz" wrap="square" lIns="0" tIns="1188720" rIns="0" bIns="45720" numCol="1" spcCol="0" rtlCol="0" fromWordArt="0" anchor="ctr" anchorCtr="0" forceAA="0" compatLnSpc="1">
                        <a:prstTxWarp prst="textNoShape">
                          <a:avLst/>
                        </a:prstTxWarp>
                        <a:noAutofit/>
                      </wps:bodyPr>
                    </wps:wsp>
                  </a:graphicData>
                </a:graphic>
              </wp:inline>
            </w:drawing>
          </mc:Choice>
          <mc:Fallback>
            <w:pict>
              <v:shapetype w14:anchorId="7EECFF30" id="_x0000_t202" coordsize="21600,21600" o:spt="202" path="m,l,21600r21600,l21600,xe">
                <v:stroke joinstyle="miter"/>
                <v:path gradientshapeok="t" o:connecttype="rect"/>
              </v:shapetype>
              <v:shape id="Text Box 2" o:spid="_x0000_s1026" type="#_x0000_t202" alt="BRIEF 1&#13;&#10;Effective Implementation Systems: Partners &amp; Capacities&#13;&#10;" style="width:7in;height:13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" filled="f" stroked="f" strokeweight=".5pt">
                <v:textbox inset="0,93.6pt,0">
                  <w:txbxContent>
                    <w:p w14:paraId="1F7B97F6" w14:textId="2541668A"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sidR="00974A8E">
                        <w:rPr>
                          <w:b/>
                          <w:bCs/>
                          <w:i w:val="0"/>
                          <w:iCs w:val="0"/>
                          <w:color w:val="002060"/>
                          <w:sz w:val="32"/>
                          <w:szCs w:val="32"/>
                        </w:rPr>
                        <w:t>4</w:t>
                      </w:r>
                    </w:p>
                    <w:p w14:paraId="638187F0" w14:textId="5A5D1E36" w:rsidR="000A0D7C" w:rsidRPr="00086FED" w:rsidRDefault="000A0D7C" w:rsidP="002C36C2">
                      <w:pPr>
                        <w:pStyle w:val="Heading1"/>
                        <w:ind w:left="0"/>
                      </w:pPr>
                    </w:p>
                  </w:txbxContent>
                </v:textbox>
                <w10:anchorlock/>
              </v:shape>
            </w:pict>
          </mc:Fallback>
        </mc:AlternateContent>
      </w:r>
      <w:r>
        <mc:AlternateContent>
          <mc:Choice Requires="wps">
            <w:drawing>
              <wp:inline distT="0" distB="0" distL="0" distR="0" wp14:anchorId="4F18EBC8" wp14:editId="2E127B5A">
                <wp:extent cx="6400800" cy="3262965"/>
                <wp:effectExtent l="0" t="0" r="0" b="1270"/>
                <wp:docPr id="1526113741" name="Text Box 2" descr="NC Triple P System Overview&#13;&#10;"/>
                <wp:cNvGraphicFramePr/>
                <a:graphic xmlns:a="http://schemas.openxmlformats.org/drawingml/2006/main">
                  <a:graphicData uri="http://schemas.microsoft.com/office/word/2010/wordprocessingShape">
                    <wps:wsp>
                      <wps:cNvSpPr txBox="1"/>
                      <wps:spPr>
                        <a:xfrm>
                          <a:off x="0" y="0"/>
                          <a:ext cx="6400800" cy="3262965"/>
                        </a:xfrm>
                        <a:prstGeom prst="rect">
                          <a:avLst/>
                        </a:prstGeom>
                        <a:solidFill>
                          <a:schemeClr val="lt1"/>
                        </a:solidFill>
                        <a:ln w="6350">
                          <a:noFill/>
                        </a:ln>
                      </wps:spPr>
                      <wps:txbx>
                        <w:txbxContent>
                          <w:p w14:paraId="3A5DCE78" w14:textId="3DE95D2A" w:rsidR="000A0D7C" w:rsidRDefault="00974A8E" w:rsidP="000A0D7C">
                            <w:pPr>
                              <w:pStyle w:val="Heading1A"/>
                              <w:rPr>
                                <w:rFonts w:eastAsia="Lato"/>
                              </w:rPr>
                            </w:pPr>
                            <w:r>
                              <w:rPr>
                                <w:rFonts w:eastAsia="Lato"/>
                              </w:rPr>
                              <w:t>I</w:t>
                            </w:r>
                            <w:r w:rsidR="000A0D7C">
                              <w:rPr>
                                <w:rFonts w:eastAsia="Lato"/>
                              </w:rPr>
                              <w:t>CTP</w:t>
                            </w:r>
                            <w:r>
                              <w:rPr>
                                <w:rFonts w:eastAsia="Lato"/>
                              </w:rPr>
                              <w:t xml:space="preserve"> Implementation</w:t>
                            </w:r>
                            <w:r w:rsidR="000A0D7C">
                              <w:rPr>
                                <w:rFonts w:eastAsia="Lato"/>
                              </w:rPr>
                              <w:t xml:space="preserve"> </w:t>
                            </w:r>
                          </w:p>
                          <w:p w14:paraId="3BC692DB" w14:textId="2E0EE801" w:rsidR="000A0D7C" w:rsidRPr="00086FED" w:rsidRDefault="000A0D7C" w:rsidP="000A0D7C">
                            <w:pPr>
                              <w:pStyle w:val="Heading1A"/>
                            </w:pPr>
                            <w:r>
                              <w:rPr>
                                <w:rFonts w:eastAsia="Lato"/>
                              </w:rPr>
                              <w:t>S</w:t>
                            </w:r>
                            <w:r w:rsidR="00974A8E">
                              <w:rPr>
                                <w:rFonts w:eastAsia="Lato"/>
                              </w:rPr>
                              <w:t>upport Practice Model: Background &amp;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18EBC8" id="_x0000_s1027" type="#_x0000_t202" alt="NC Triple P System Overview&#13;&#10;" style="width:7in;height:2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34LwIAAFwEAAAOAAAAZHJzL2Uyb0RvYy54bWysVE1v2zAMvQ/YfxB0X+ykSdY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" fillcolor="white [3201]" stroked="f" strokeweight=".5pt">
                <v:textbox>
                  <w:txbxContent>
                    <w:p w14:paraId="3A5DCE78" w14:textId="3DE95D2A" w:rsidR="000A0D7C" w:rsidRDefault="00974A8E" w:rsidP="000A0D7C">
                      <w:pPr>
                        <w:pStyle w:val="Heading1A"/>
                        <w:rPr>
                          <w:rFonts w:eastAsia="Lato"/>
                        </w:rPr>
                      </w:pPr>
                      <w:r>
                        <w:rPr>
                          <w:rFonts w:eastAsia="Lato"/>
                        </w:rPr>
                        <w:t>I</w:t>
                      </w:r>
                      <w:r w:rsidR="000A0D7C">
                        <w:rPr>
                          <w:rFonts w:eastAsia="Lato"/>
                        </w:rPr>
                        <w:t>CTP</w:t>
                      </w:r>
                      <w:r>
                        <w:rPr>
                          <w:rFonts w:eastAsia="Lato"/>
                        </w:rPr>
                        <w:t xml:space="preserve"> Implementation</w:t>
                      </w:r>
                      <w:r w:rsidR="000A0D7C">
                        <w:rPr>
                          <w:rFonts w:eastAsia="Lato"/>
                        </w:rPr>
                        <w:t xml:space="preserve"> </w:t>
                      </w:r>
                    </w:p>
                    <w:p w14:paraId="3BC692DB" w14:textId="2E0EE801" w:rsidR="000A0D7C" w:rsidRPr="00086FED" w:rsidRDefault="000A0D7C" w:rsidP="000A0D7C">
                      <w:pPr>
                        <w:pStyle w:val="Heading1A"/>
                      </w:pPr>
                      <w:r>
                        <w:rPr>
                          <w:rFonts w:eastAsia="Lato"/>
                        </w:rPr>
                        <w:t>S</w:t>
                      </w:r>
                      <w:r w:rsidR="00974A8E">
                        <w:rPr>
                          <w:rFonts w:eastAsia="Lato"/>
                        </w:rPr>
                        <w:t>upport Practice Model: Background &amp; Development</w:t>
                      </w:r>
                    </w:p>
                  </w:txbxContent>
                </v:textbox>
                <w10:anchorlock/>
              </v:shape>
            </w:pict>
          </mc:Fallback>
        </mc:AlternateContent>
      </w:r>
    </w:p>
    <w:p w14:paraId="111144B1" w14:textId="77777777" w:rsidR="002C36C2" w:rsidRDefault="002C36C2" w:rsidP="005F00FA">
      <w:pPr>
        <w:pStyle w:val="textAcknowledgement"/>
        <w:rPr>
          <w:b/>
          <w:bCs w:val="0"/>
        </w:rPr>
      </w:pPr>
    </w:p>
    <w:p w14:paraId="2E85A73D" w14:textId="77777777" w:rsidR="002C36C2" w:rsidRDefault="002C36C2" w:rsidP="005F00FA">
      <w:pPr>
        <w:pStyle w:val="textAcknowledgement"/>
        <w:rPr>
          <w:b/>
          <w:bCs w:val="0"/>
        </w:rPr>
      </w:pPr>
    </w:p>
    <w:p w14:paraId="01A2FA8E" w14:textId="77777777" w:rsidR="002C36C2" w:rsidRDefault="002C36C2" w:rsidP="005F00FA">
      <w:pPr>
        <w:pStyle w:val="textAcknowledgement"/>
        <w:rPr>
          <w:b/>
          <w:bCs w:val="0"/>
        </w:rPr>
      </w:pPr>
    </w:p>
    <w:p w14:paraId="37118DFA" w14:textId="0997A78B" w:rsidR="005F00FA" w:rsidRPr="009204C3" w:rsidRDefault="005F00FA" w:rsidP="005F00FA">
      <w:pPr>
        <w:pStyle w:val="textAcknowledgement"/>
        <w:rPr>
          <w:b/>
          <w:bCs w:val="0"/>
        </w:rPr>
      </w:pPr>
      <w:r w:rsidRPr="009204C3">
        <w:rPr>
          <w:b/>
          <w:bCs w:val="0"/>
        </w:rPr>
        <w:lastRenderedPageBreak/>
        <w:t>Acknowledgements</w:t>
      </w:r>
    </w:p>
    <w:p w14:paraId="37807189" w14:textId="77777777" w:rsidR="005F00FA" w:rsidRPr="009204C3" w:rsidRDefault="005F00FA" w:rsidP="005F00FA">
      <w:pPr>
        <w:contextualSpacing/>
        <w:rPr>
          <w:sz w:val="20"/>
          <w:szCs w:val="20"/>
        </w:rPr>
      </w:pPr>
      <w:r w:rsidRPr="009204C3">
        <w:rPr>
          <w:sz w:val="20"/>
          <w:szCs w:val="20"/>
        </w:rPr>
        <w:t xml:space="preserve">Development of the </w:t>
      </w:r>
      <w:r w:rsidRPr="009204C3">
        <w:rPr>
          <w:rFonts w:cstheme="minorHAnsi"/>
          <w:bCs/>
          <w:sz w:val="20"/>
          <w:szCs w:val="20"/>
        </w:rPr>
        <w:t>ICTP Implementation Support Practice Compendium</w:t>
      </w:r>
      <w:r w:rsidRPr="009204C3">
        <w:rPr>
          <w:sz w:val="20"/>
          <w:szCs w:val="20"/>
        </w:rPr>
        <w:t xml:space="preserve"> was supported by the following funding sources:</w:t>
      </w:r>
    </w:p>
    <w:p w14:paraId="559053B5" w14:textId="77777777" w:rsidR="005F00FA" w:rsidRPr="009204C3" w:rsidRDefault="005F00FA" w:rsidP="005F00FA">
      <w:pPr>
        <w:pStyle w:val="ListBullet"/>
        <w:numPr>
          <w:ilvl w:val="0"/>
          <w:numId w:val="67"/>
        </w:numPr>
        <w:ind w:left="2520" w:hanging="270"/>
        <w:rPr>
          <w:sz w:val="20"/>
          <w:szCs w:val="20"/>
        </w:rPr>
      </w:pPr>
      <w:r w:rsidRPr="009204C3">
        <w:rPr>
          <w:sz w:val="20"/>
          <w:szCs w:val="20"/>
        </w:rPr>
        <w:t>The Duke Endowment Grant Agreement No. 2081-SP, The Implementation Capacity for Triple P (ICTP) Projects in North Carolina and South Carolina.</w:t>
      </w:r>
    </w:p>
    <w:p w14:paraId="1CE836C6" w14:textId="77777777" w:rsidR="005F00FA" w:rsidRPr="009204C3" w:rsidRDefault="005F00FA" w:rsidP="005F00FA">
      <w:pPr>
        <w:pStyle w:val="ListBullet"/>
        <w:numPr>
          <w:ilvl w:val="0"/>
          <w:numId w:val="67"/>
        </w:numPr>
        <w:ind w:left="2520" w:hanging="270"/>
        <w:rPr>
          <w:sz w:val="20"/>
          <w:szCs w:val="20"/>
        </w:rPr>
      </w:pPr>
      <w:r w:rsidRPr="009204C3">
        <w:rPr>
          <w:sz w:val="20"/>
          <w:szCs w:val="20"/>
        </w:rPr>
        <w:t>The North Carolina Department of Health and Human Services, Division of Social Services Contract Numbers 00042356, 00044072, and 00045540, North Carolina Implementation Capacity for Triple P Project.</w:t>
      </w:r>
    </w:p>
    <w:p w14:paraId="138A129D" w14:textId="77777777" w:rsidR="005F00FA" w:rsidRPr="009204C3" w:rsidRDefault="005F00FA" w:rsidP="005F00FA">
      <w:pPr>
        <w:rPr>
          <w:rFonts w:cstheme="minorHAnsi"/>
          <w:bCs/>
          <w:sz w:val="20"/>
          <w:szCs w:val="20"/>
        </w:rPr>
      </w:pPr>
    </w:p>
    <w:p w14:paraId="32F8CBDB" w14:textId="77777777" w:rsidR="005F00FA" w:rsidRPr="009204C3" w:rsidRDefault="005F00FA" w:rsidP="005F00FA">
      <w:pPr>
        <w:rPr>
          <w:rFonts w:cstheme="minorHAnsi"/>
          <w:bCs/>
          <w:sz w:val="20"/>
          <w:szCs w:val="20"/>
        </w:rPr>
      </w:pPr>
      <w:r w:rsidRPr="009204C3">
        <w:rPr>
          <w:rFonts w:cstheme="minorHAnsi"/>
          <w:bCs/>
          <w:sz w:val="20"/>
          <w:szCs w:val="20"/>
        </w:rPr>
        <w:t xml:space="preserve">The authors would like to acknowledge all current and former team members of The Impact Center at Frank Porter Graham Child Development Institute for their contributions to the development and improvement of the practice model represented in the ICTP Implementation Support Practice Compendium. For their reviews, feedback, copyediting, and formatting support, we would like to acknowledge Rona Bernstein of </w:t>
      </w:r>
      <w:proofErr w:type="spellStart"/>
      <w:r w:rsidRPr="009204C3">
        <w:rPr>
          <w:rFonts w:cstheme="minorHAnsi"/>
          <w:bCs/>
          <w:sz w:val="20"/>
          <w:szCs w:val="20"/>
        </w:rPr>
        <w:t>PsycEditing</w:t>
      </w:r>
      <w:proofErr w:type="spellEnd"/>
      <w:r w:rsidRPr="009204C3">
        <w:rPr>
          <w:rFonts w:cstheme="minorHAnsi"/>
          <w:bCs/>
          <w:sz w:val="20"/>
          <w:szCs w:val="20"/>
        </w:rPr>
        <w:t xml:space="preserve">; Kamilah Pickett and Paula Dressel of Race Matters Institute at MDC; and Jennifer Robinette, Julie Chin, </w:t>
      </w:r>
      <w:proofErr w:type="spellStart"/>
      <w:r w:rsidRPr="009204C3">
        <w:rPr>
          <w:rFonts w:cstheme="minorHAnsi"/>
          <w:bCs/>
          <w:sz w:val="20"/>
          <w:szCs w:val="20"/>
        </w:rPr>
        <w:t>LaMana</w:t>
      </w:r>
      <w:proofErr w:type="spellEnd"/>
      <w:r w:rsidRPr="009204C3">
        <w:rPr>
          <w:rFonts w:cstheme="minorHAnsi"/>
          <w:bCs/>
          <w:sz w:val="20"/>
          <w:szCs w:val="20"/>
        </w:rPr>
        <w:t xml:space="preserve"> </w:t>
      </w:r>
      <w:proofErr w:type="spellStart"/>
      <w:r w:rsidRPr="009204C3">
        <w:rPr>
          <w:rFonts w:cstheme="minorHAnsi"/>
          <w:bCs/>
          <w:sz w:val="20"/>
          <w:szCs w:val="20"/>
        </w:rPr>
        <w:t>Donadelle</w:t>
      </w:r>
      <w:proofErr w:type="spellEnd"/>
      <w:r w:rsidRPr="009204C3">
        <w:rPr>
          <w:rFonts w:cstheme="minorHAnsi"/>
          <w:bCs/>
          <w:sz w:val="20"/>
          <w:szCs w:val="20"/>
        </w:rPr>
        <w:t>, and Lindsay Holland of the ICTP Projects Team, Frank Porter Graham Child Development Institute, UNC-Chapel Hill.</w:t>
      </w:r>
    </w:p>
    <w:p w14:paraId="0DBF1E09" w14:textId="77777777" w:rsidR="005F00FA" w:rsidRDefault="005F00FA" w:rsidP="002C36C2">
      <w:pPr>
        <w:pStyle w:val="textAcknowledgement"/>
        <w:ind w:left="0"/>
        <w:rPr>
          <w:b/>
        </w:rPr>
      </w:pPr>
    </w:p>
    <w:p w14:paraId="3E1EF396" w14:textId="77777777" w:rsidR="005F00FA" w:rsidRPr="000D15CF" w:rsidRDefault="005F00FA" w:rsidP="005F00FA">
      <w:pPr>
        <w:rPr>
          <w:sz w:val="20"/>
          <w:szCs w:val="20"/>
        </w:rPr>
      </w:pPr>
      <w:r w:rsidRPr="000D15CF">
        <w:rPr>
          <w:sz w:val="20"/>
          <w:szCs w:val="20"/>
        </w:rPr>
        <w:t>The authors would like to acknowledge Rohit Ramaswamy for his mentoring around theorizing in implementation science.</w:t>
      </w:r>
    </w:p>
    <w:p w14:paraId="44739E41" w14:textId="77777777" w:rsidR="005F00FA" w:rsidRPr="000D15CF" w:rsidRDefault="005F00FA" w:rsidP="005F00FA">
      <w:pPr>
        <w:rPr>
          <w:rFonts w:cstheme="minorHAnsi"/>
          <w:i/>
          <w:iCs/>
          <w:sz w:val="20"/>
          <w:szCs w:val="20"/>
          <w:highlight w:val="yellow"/>
        </w:rPr>
      </w:pPr>
    </w:p>
    <w:p w14:paraId="2850EBEE" w14:textId="4377C627" w:rsidR="005F00FA" w:rsidRPr="000D15CF" w:rsidRDefault="005F00FA" w:rsidP="005F00FA">
      <w:pPr>
        <w:pStyle w:val="textAcknowledgement"/>
        <w:rPr>
          <w:rFonts w:ascii="Verdana" w:hAnsi="Verdana"/>
          <w:color w:val="000000"/>
        </w:rPr>
      </w:pPr>
      <w:r w:rsidRPr="000D15CF">
        <w:rPr>
          <w:b/>
        </w:rPr>
        <w:t>Suggested citation</w:t>
      </w:r>
      <w:r w:rsidRPr="000D15CF">
        <w:t xml:space="preserve">: Aldridge, W. A., II, DiSalvo, C. I., Banks, C. R., &amp; the members of the ICTP Projects Team (2024, May). </w:t>
      </w:r>
      <w:r w:rsidRPr="000D15CF">
        <w:rPr>
          <w:i/>
          <w:iCs/>
        </w:rPr>
        <w:t xml:space="preserve">ICTP implementation support practice model: Background and development </w:t>
      </w:r>
      <w:r w:rsidRPr="000D15CF">
        <w:t xml:space="preserve">(ICTP Implementation Support Practice Compendium, Brief No. 4). University of North Carolina at Chapel Hill, The Impact Center at Frank Porter Graham Child Development Institute. </w:t>
      </w:r>
      <w:r w:rsidRPr="000D15CF">
        <w:rPr>
          <w:rStyle w:val="Hyperlink"/>
          <w:sz w:val="20"/>
        </w:rPr>
        <w:t>https://ictp.fpg.unc.edu/wp-content/uploads/background-and-development-of-the-ictp-implementation-support-practice-model.docx</w:t>
      </w:r>
    </w:p>
    <w:p w14:paraId="486C6559" w14:textId="77777777" w:rsidR="005F00FA" w:rsidRDefault="005F00FA" w:rsidP="005F00FA">
      <w:pPr>
        <w:pStyle w:val="textAcknowledgement"/>
        <w:ind w:left="0"/>
      </w:pPr>
    </w:p>
    <w:p w14:paraId="15D6217C" w14:textId="6B1D33F1" w:rsidR="005F00FA" w:rsidRDefault="005F00FA" w:rsidP="005F00FA">
      <w:pPr>
        <w:pStyle w:val="textAcknowledgement"/>
      </w:pPr>
      <w:r w:rsidRPr="007469E9">
        <w:t>Christina DiSalvo is now at The Duke Endowment.</w:t>
      </w:r>
    </w:p>
    <w:p w14:paraId="536EA686" w14:textId="77777777" w:rsidR="00E806D8" w:rsidRPr="005F00FA" w:rsidRDefault="00E806D8" w:rsidP="005F00FA">
      <w:pPr>
        <w:pStyle w:val="textAcknowledgement"/>
      </w:pPr>
    </w:p>
    <w:p w14:paraId="393A1F50" w14:textId="7473BE31" w:rsidR="00695E8D" w:rsidRDefault="005F00FA" w:rsidP="005F00FA">
      <w:pPr>
        <w:pStyle w:val="textAcknowledgement"/>
      </w:pPr>
      <w:r>
        <w:t xml:space="preserve">The members of the ICTP Projects Team include Principal Investigator William A. Aldridge II; Co-Principal Investigators Christina I. DiSalvo and Jessica J. Reed; Co-Investigators Rebecca H. </w:t>
      </w:r>
      <w:proofErr w:type="spellStart"/>
      <w:r>
        <w:t>Roppolo</w:t>
      </w:r>
      <w:proofErr w:type="spellEnd"/>
      <w:r>
        <w:t xml:space="preserve">, Sandra J. Diehl, </w:t>
      </w:r>
      <w:r w:rsidRPr="005E6BDB">
        <w:t xml:space="preserve">Renée </w:t>
      </w:r>
      <w:r>
        <w:t xml:space="preserve">I. Boothroyd, Capri R. Banks, </w:t>
      </w:r>
      <w:r w:rsidRPr="003571F6">
        <w:t>Tamara Robertson</w:t>
      </w:r>
      <w:r>
        <w:t xml:space="preserve">, Devon R. Minch, </w:t>
      </w:r>
      <w:r w:rsidRPr="003571F6">
        <w:t>Rohit Ramaswamy</w:t>
      </w:r>
      <w:r w:rsidRPr="00607D89">
        <w:t xml:space="preserve">, </w:t>
      </w:r>
      <w:r w:rsidRPr="00F00588">
        <w:t>Wendy M. Morgan</w:t>
      </w:r>
      <w:r>
        <w:t xml:space="preserve">, and </w:t>
      </w:r>
      <w:r w:rsidRPr="00F00588">
        <w:t>Ximena Franco-Jenkins</w:t>
      </w:r>
      <w:r>
        <w:t xml:space="preserve">; and additional team members </w:t>
      </w:r>
      <w:r w:rsidRPr="00BC08A8">
        <w:t xml:space="preserve">Shannon D. </w:t>
      </w:r>
      <w:proofErr w:type="spellStart"/>
      <w:r w:rsidRPr="00BC08A8">
        <w:t>Chaplo</w:t>
      </w:r>
      <w:proofErr w:type="spellEnd"/>
      <w:r>
        <w:t xml:space="preserve">, </w:t>
      </w:r>
      <w:proofErr w:type="spellStart"/>
      <w:r w:rsidRPr="00BC08A8">
        <w:t>Sherra</w:t>
      </w:r>
      <w:proofErr w:type="spellEnd"/>
      <w:r w:rsidRPr="00BC08A8">
        <w:t xml:space="preserve"> </w:t>
      </w:r>
      <w:r>
        <w:t>C</w:t>
      </w:r>
      <w:r w:rsidRPr="00BC08A8">
        <w:t>. Lawrence</w:t>
      </w:r>
      <w:r>
        <w:t xml:space="preserve">, Kimberly R. Maloney, </w:t>
      </w:r>
      <w:r w:rsidRPr="003E5763">
        <w:t xml:space="preserve">Marais </w:t>
      </w:r>
      <w:proofErr w:type="spellStart"/>
      <w:r w:rsidRPr="003E5763">
        <w:t>Pletsch</w:t>
      </w:r>
      <w:proofErr w:type="spellEnd"/>
      <w:r>
        <w:t xml:space="preserve">, </w:t>
      </w:r>
      <w:r w:rsidRPr="00BC08A8">
        <w:t>Ariel B. Everett</w:t>
      </w:r>
      <w:r>
        <w:t xml:space="preserve">, </w:t>
      </w:r>
      <w:r w:rsidRPr="003571F6">
        <w:t>Alana Gilbert</w:t>
      </w:r>
      <w:r>
        <w:t xml:space="preserve">, </w:t>
      </w:r>
      <w:r w:rsidRPr="003571F6">
        <w:t>Jennifer B. Robinette</w:t>
      </w:r>
      <w:r>
        <w:t xml:space="preserve">, </w:t>
      </w:r>
      <w:r w:rsidRPr="003571F6">
        <w:t>Julie Chin</w:t>
      </w:r>
      <w:r>
        <w:t xml:space="preserve">, </w:t>
      </w:r>
      <w:proofErr w:type="spellStart"/>
      <w:r w:rsidRPr="003571F6">
        <w:t>LaMana</w:t>
      </w:r>
      <w:proofErr w:type="spellEnd"/>
      <w:r w:rsidRPr="003571F6">
        <w:t xml:space="preserve"> </w:t>
      </w:r>
      <w:proofErr w:type="spellStart"/>
      <w:r w:rsidRPr="003571F6">
        <w:t>Donadelle</w:t>
      </w:r>
      <w:proofErr w:type="spellEnd"/>
      <w:r w:rsidRPr="00DD4D0B">
        <w:t xml:space="preserve">, </w:t>
      </w:r>
      <w:r w:rsidRPr="003571F6">
        <w:t>Andrea Ross</w:t>
      </w:r>
      <w:r>
        <w:t xml:space="preserve">, </w:t>
      </w:r>
      <w:r w:rsidRPr="003E5763">
        <w:t>Christine C. Harradine</w:t>
      </w:r>
      <w:r>
        <w:t xml:space="preserve">, </w:t>
      </w:r>
      <w:r w:rsidRPr="003E5763">
        <w:t>Lindsay Holland</w:t>
      </w:r>
      <w:r>
        <w:t xml:space="preserve">, </w:t>
      </w:r>
      <w:r w:rsidRPr="003E5763">
        <w:t>Margaret Sullivan</w:t>
      </w:r>
      <w:r>
        <w:t xml:space="preserve">, and </w:t>
      </w:r>
      <w:r w:rsidRPr="003E5763">
        <w:t xml:space="preserve">Meera </w:t>
      </w:r>
      <w:proofErr w:type="spellStart"/>
      <w:r w:rsidRPr="003E5763">
        <w:t>Kumanan</w:t>
      </w:r>
      <w:proofErr w:type="spellEnd"/>
      <w:r>
        <w:t>.</w:t>
      </w:r>
    </w:p>
    <w:p w14:paraId="20EA1FD7" w14:textId="77777777" w:rsidR="00695E8D" w:rsidRDefault="00695E8D" w:rsidP="005F00FA">
      <w:pPr>
        <w:ind w:left="0"/>
      </w:pPr>
    </w:p>
    <w:p w14:paraId="4F92A918" w14:textId="77777777" w:rsidR="002C36C2" w:rsidRPr="009204C3" w:rsidRDefault="002C36C2" w:rsidP="002C36C2">
      <w:pPr>
        <w:rPr>
          <w:rFonts w:cstheme="minorHAnsi"/>
          <w:bCs/>
          <w:sz w:val="20"/>
          <w:szCs w:val="20"/>
        </w:rPr>
      </w:pPr>
      <w:r w:rsidRPr="009204C3">
        <w:rPr>
          <w:rFonts w:cstheme="minorHAnsi"/>
          <w:bCs/>
          <w:sz w:val="20"/>
          <w:szCs w:val="20"/>
        </w:rPr>
        <w:t>Correspondence concerning the ICTP Implementation Support Practice Compendium should be addressed to Will Aldridge at FPG Child Development Institute, University of North Carolina at Chapel Hill, CB #8180, Chapel Hill, NC 27599-8180, USA or via email, will.aldridge@unc.edu, phone, 919-966-4713, or fax, 919-966-7532.</w:t>
      </w:r>
    </w:p>
    <w:p w14:paraId="50D42C08" w14:textId="77777777" w:rsidR="00695E8D" w:rsidRDefault="00695E8D" w:rsidP="005F3829"/>
    <w:p w14:paraId="3C9C8CA0" w14:textId="77777777" w:rsidR="002C36C2" w:rsidRDefault="002C36C2" w:rsidP="002C36C2">
      <w:pPr>
        <w:pStyle w:val="Heading2"/>
        <w:rPr>
          <w:rFonts w:eastAsia="Lato"/>
        </w:rPr>
      </w:pPr>
      <w:r>
        <w:rPr>
          <w:rFonts w:eastAsia="Lato"/>
        </w:rPr>
        <w:t xml:space="preserve">ICTP Implementation </w:t>
      </w:r>
    </w:p>
    <w:p w14:paraId="5CCBB3A2" w14:textId="77777777" w:rsidR="002C36C2" w:rsidRPr="00086FED" w:rsidRDefault="002C36C2" w:rsidP="002C36C2">
      <w:pPr>
        <w:pStyle w:val="Heading2"/>
      </w:pPr>
      <w:r>
        <w:rPr>
          <w:rFonts w:eastAsia="Lato"/>
        </w:rPr>
        <w:t>Support Practice Model: Background &amp; Development</w:t>
      </w:r>
    </w:p>
    <w:p w14:paraId="76AA2032" w14:textId="77777777" w:rsidR="0090628E" w:rsidRDefault="0090628E" w:rsidP="005F3829"/>
    <w:p w14:paraId="22855459" w14:textId="1828FAD3" w:rsidR="00974A8E" w:rsidRPr="00D2739D" w:rsidRDefault="00974A8E" w:rsidP="005F00FA">
      <w:r>
        <w:t>In th</w:t>
      </w:r>
      <w:r w:rsidRPr="00872250">
        <w:t>is brief</w:t>
      </w:r>
      <w:r>
        <w:t>, we provide a concise overview of implementation science to serve as context in which to understand the Implementation Capacity for Triple P (</w:t>
      </w:r>
      <w:r w:rsidRPr="00872250">
        <w:t>ICTP</w:t>
      </w:r>
      <w:r>
        <w:t>)</w:t>
      </w:r>
      <w:r w:rsidRPr="00872250">
        <w:t xml:space="preserve"> implementation support practice </w:t>
      </w:r>
      <w:r>
        <w:t xml:space="preserve">model, a detailed approach for supporting Triple P implementation and scale-up in the Carolinas. Following this, we describe </w:t>
      </w:r>
      <w:r w:rsidRPr="00872250">
        <w:t>the development and status of the ICTP implementation support practice model</w:t>
      </w:r>
      <w:r>
        <w:t>.</w:t>
      </w:r>
      <w:r w:rsidR="00D2739D">
        <w:t xml:space="preserve"> </w:t>
      </w:r>
      <w:r>
        <w:rPr>
          <w:rFonts w:cs="Merriweather"/>
        </w:rPr>
        <w:t>A starting point to appreciating implementation science and its use as the foundation of the ICTP projects is understanding that the field originated to address critical challenges that persist today regarding the implementation of evidence-based prevention programs.</w:t>
      </w:r>
    </w:p>
    <w:p w14:paraId="7001ACE7" w14:textId="77777777" w:rsidR="00974A8E" w:rsidRDefault="00974A8E" w:rsidP="00974A8E">
      <w:pPr>
        <w:rPr>
          <w:rFonts w:cs="Merriweather"/>
        </w:rPr>
      </w:pPr>
    </w:p>
    <w:p w14:paraId="0B52FA34" w14:textId="77777777" w:rsidR="00974A8E" w:rsidRDefault="00974A8E" w:rsidP="00974A8E">
      <w:pPr>
        <w:rPr>
          <w:rFonts w:cs="Merriweather"/>
        </w:rPr>
      </w:pPr>
      <w:r w:rsidRPr="1AEF4C3F">
        <w:rPr>
          <w:rFonts w:cs="Merriweather"/>
        </w:rPr>
        <w:t>Evidence-based prevention programs offer a great deal of promise to support the health and well</w:t>
      </w:r>
      <w:r>
        <w:rPr>
          <w:rFonts w:cs="Merriweather"/>
        </w:rPr>
        <w:t>-</w:t>
      </w:r>
      <w:r w:rsidRPr="1AEF4C3F">
        <w:rPr>
          <w:rFonts w:cs="Merriweather"/>
        </w:rPr>
        <w:t xml:space="preserve">being of children, youth, families, and communities. Many funders and service providers have shifted toward </w:t>
      </w:r>
      <w:r>
        <w:rPr>
          <w:rFonts w:cs="Merriweather"/>
        </w:rPr>
        <w:t xml:space="preserve">program </w:t>
      </w:r>
      <w:r w:rsidRPr="1AEF4C3F">
        <w:rPr>
          <w:rFonts w:cs="Merriweather"/>
        </w:rPr>
        <w:t xml:space="preserve">models that have demonstrated </w:t>
      </w:r>
      <w:r>
        <w:rPr>
          <w:rFonts w:cs="Merriweather"/>
        </w:rPr>
        <w:t xml:space="preserve">(a) </w:t>
      </w:r>
      <w:r w:rsidRPr="1AEF4C3F">
        <w:rPr>
          <w:rFonts w:cs="Merriweather"/>
        </w:rPr>
        <w:t xml:space="preserve">positive impact through rigorous evaluations and </w:t>
      </w:r>
      <w:r>
        <w:rPr>
          <w:rFonts w:cs="Merriweather"/>
        </w:rPr>
        <w:t xml:space="preserve">(b) positive outcomes </w:t>
      </w:r>
      <w:proofErr w:type="gramStart"/>
      <w:r>
        <w:rPr>
          <w:rFonts w:cs="Merriweather"/>
        </w:rPr>
        <w:t>with regard to</w:t>
      </w:r>
      <w:proofErr w:type="gramEnd"/>
      <w:r>
        <w:rPr>
          <w:rFonts w:cs="Merriweather"/>
        </w:rPr>
        <w:t xml:space="preserve"> </w:t>
      </w:r>
      <w:r w:rsidRPr="1AEF4C3F">
        <w:rPr>
          <w:rFonts w:cs="Merriweather"/>
        </w:rPr>
        <w:t xml:space="preserve">choice, fit, and feasibility within adopting locations. </w:t>
      </w:r>
    </w:p>
    <w:p w14:paraId="0955601B" w14:textId="77777777" w:rsidR="00974A8E" w:rsidRDefault="00974A8E" w:rsidP="00974A8E">
      <w:pPr>
        <w:rPr>
          <w:rFonts w:cs="Merriweather"/>
        </w:rPr>
      </w:pPr>
    </w:p>
    <w:p w14:paraId="2B549CAA" w14:textId="77777777" w:rsidR="00974A8E" w:rsidRDefault="00974A8E" w:rsidP="00974A8E">
      <w:pPr>
        <w:rPr>
          <w:rFonts w:cs="Merriweather"/>
        </w:rPr>
      </w:pPr>
      <w:r w:rsidRPr="00015BAD">
        <w:rPr>
          <w:rFonts w:cs="Merriweather"/>
        </w:rPr>
        <w:t xml:space="preserve">However, in the </w:t>
      </w:r>
      <w:r>
        <w:rPr>
          <w:rFonts w:cs="Merriweather"/>
        </w:rPr>
        <w:t>context</w:t>
      </w:r>
      <w:r w:rsidRPr="00015BAD">
        <w:rPr>
          <w:rFonts w:cs="Merriweather"/>
        </w:rPr>
        <w:t xml:space="preserve"> of </w:t>
      </w:r>
      <w:r>
        <w:rPr>
          <w:rFonts w:cs="Merriweather"/>
        </w:rPr>
        <w:t xml:space="preserve">established health, well-being, and prevention systems, the </w:t>
      </w:r>
      <w:r w:rsidRPr="00015BAD">
        <w:rPr>
          <w:rFonts w:cs="Merriweather"/>
        </w:rPr>
        <w:t>implement</w:t>
      </w:r>
      <w:r>
        <w:rPr>
          <w:rFonts w:cs="Merriweather"/>
        </w:rPr>
        <w:t xml:space="preserve">ation </w:t>
      </w:r>
      <w:r w:rsidRPr="00015BAD">
        <w:rPr>
          <w:rFonts w:cs="Merriweather"/>
        </w:rPr>
        <w:t>and scal</w:t>
      </w:r>
      <w:r>
        <w:rPr>
          <w:rFonts w:cs="Merriweather"/>
        </w:rPr>
        <w:t>e</w:t>
      </w:r>
      <w:r w:rsidRPr="00015BAD">
        <w:rPr>
          <w:rFonts w:cs="Merriweather"/>
        </w:rPr>
        <w:t xml:space="preserve">-up </w:t>
      </w:r>
      <w:r>
        <w:rPr>
          <w:rFonts w:cs="Merriweather"/>
        </w:rPr>
        <w:t xml:space="preserve">of </w:t>
      </w:r>
      <w:r w:rsidRPr="00015BAD">
        <w:rPr>
          <w:rFonts w:cs="Merriweather"/>
        </w:rPr>
        <w:t>these innovations can be challeng</w:t>
      </w:r>
      <w:r>
        <w:rPr>
          <w:rFonts w:cs="Merriweather"/>
        </w:rPr>
        <w:t>ing</w:t>
      </w:r>
      <w:r w:rsidRPr="00015BAD">
        <w:rPr>
          <w:rFonts w:cs="Merriweather"/>
        </w:rPr>
        <w:t xml:space="preserve">. </w:t>
      </w:r>
      <w:r>
        <w:rPr>
          <w:rFonts w:cs="Merriweather"/>
          <w:i/>
          <w:iCs/>
        </w:rPr>
        <w:t xml:space="preserve">Implementation </w:t>
      </w:r>
      <w:r w:rsidRPr="00E61A44">
        <w:rPr>
          <w:rFonts w:cs="Merriweather"/>
        </w:rPr>
        <w:t>is defined as “a specified set of activities designed to put into practice a</w:t>
      </w:r>
      <w:r>
        <w:rPr>
          <w:rFonts w:cs="Merriweather"/>
        </w:rPr>
        <w:t>n activity or</w:t>
      </w:r>
      <w:r w:rsidRPr="00E61A44">
        <w:rPr>
          <w:rFonts w:cs="Merriweather"/>
        </w:rPr>
        <w:t xml:space="preserve"> program of known dimensions”</w:t>
      </w:r>
      <w:r>
        <w:rPr>
          <w:rFonts w:cs="Merriweather"/>
        </w:rPr>
        <w:t xml:space="preserve"> [1] (p. 5).</w:t>
      </w:r>
      <w:r w:rsidRPr="00E61A44">
        <w:rPr>
          <w:rFonts w:cs="Merriweather"/>
        </w:rPr>
        <w:t xml:space="preserve"> </w:t>
      </w:r>
      <w:r>
        <w:rPr>
          <w:rFonts w:cs="Merriweather"/>
          <w:i/>
          <w:iCs/>
        </w:rPr>
        <w:t xml:space="preserve">Scale-up </w:t>
      </w:r>
      <w:r>
        <w:rPr>
          <w:rFonts w:cs="Merriweather"/>
        </w:rPr>
        <w:t>refers to</w:t>
      </w:r>
      <w:r w:rsidRPr="00E61A44">
        <w:rPr>
          <w:rFonts w:cs="Merriweather"/>
        </w:rPr>
        <w:t xml:space="preserve"> systematic approaches used to increase intervention coverage, range, and sustainability</w:t>
      </w:r>
      <w:r>
        <w:rPr>
          <w:rFonts w:cs="Merriweather"/>
        </w:rPr>
        <w:t xml:space="preserve"> [2]. Scale-up can occur both</w:t>
      </w:r>
      <w:r w:rsidRPr="00E61A44">
        <w:rPr>
          <w:rFonts w:cs="Merriweather"/>
        </w:rPr>
        <w:t xml:space="preserve"> vertically (i.e., involving multiple system levels) and horizontally (i.e.</w:t>
      </w:r>
      <w:r>
        <w:rPr>
          <w:rFonts w:cs="Merriweather"/>
        </w:rPr>
        <w:t>,</w:t>
      </w:r>
      <w:r w:rsidRPr="00E61A44">
        <w:rPr>
          <w:rFonts w:cs="Merriweather"/>
        </w:rPr>
        <w:t xml:space="preserve"> spread across individual or cross-sector networks)</w:t>
      </w:r>
      <w:r>
        <w:rPr>
          <w:rFonts w:cs="Merriweather"/>
        </w:rPr>
        <w:t>. F</w:t>
      </w:r>
      <w:r w:rsidRPr="00E61A44">
        <w:rPr>
          <w:rFonts w:cs="Merriweather"/>
        </w:rPr>
        <w:t xml:space="preserve">or example, </w:t>
      </w:r>
      <w:r>
        <w:rPr>
          <w:rFonts w:cs="Merriweather"/>
        </w:rPr>
        <w:t xml:space="preserve">a program can expand </w:t>
      </w:r>
      <w:r w:rsidRPr="00E61A44">
        <w:rPr>
          <w:rFonts w:cs="Merriweather"/>
        </w:rPr>
        <w:t xml:space="preserve">from a successful local program into regional, national, or international levels. </w:t>
      </w:r>
    </w:p>
    <w:p w14:paraId="680AE9B7" w14:textId="77777777" w:rsidR="00974A8E" w:rsidRDefault="00974A8E" w:rsidP="00974A8E">
      <w:pPr>
        <w:rPr>
          <w:rFonts w:cs="Merriweather"/>
        </w:rPr>
      </w:pPr>
    </w:p>
    <w:p w14:paraId="1F62E5B2" w14:textId="370A941A" w:rsidR="00974A8E" w:rsidRDefault="00974A8E" w:rsidP="00D2739D">
      <w:pPr>
        <w:rPr>
          <w:rFonts w:cs="Merriweather"/>
        </w:rPr>
      </w:pPr>
      <w:r>
        <w:rPr>
          <w:rFonts w:cs="Merriweather"/>
        </w:rPr>
        <w:t>One reason implementation and scale-up often prove challenging is that</w:t>
      </w:r>
      <w:r w:rsidRPr="00015BAD">
        <w:rPr>
          <w:rFonts w:cs="Merriweather"/>
        </w:rPr>
        <w:t xml:space="preserve"> </w:t>
      </w:r>
      <w:r>
        <w:rPr>
          <w:rFonts w:cs="Merriweather"/>
        </w:rPr>
        <w:t>d</w:t>
      </w:r>
      <w:r w:rsidRPr="00015BAD">
        <w:rPr>
          <w:rFonts w:cs="Merriweather"/>
        </w:rPr>
        <w:t xml:space="preserve">espite </w:t>
      </w:r>
      <w:r>
        <w:rPr>
          <w:rFonts w:cs="Merriweather"/>
        </w:rPr>
        <w:t xml:space="preserve">their </w:t>
      </w:r>
      <w:r w:rsidRPr="00015BAD">
        <w:rPr>
          <w:rFonts w:cs="Merriweather"/>
        </w:rPr>
        <w:t>best intentions, longstanding, complex</w:t>
      </w:r>
      <w:r>
        <w:rPr>
          <w:rFonts w:cs="Merriweather"/>
        </w:rPr>
        <w:t xml:space="preserve">, and fragmented </w:t>
      </w:r>
      <w:r w:rsidRPr="00015BAD">
        <w:rPr>
          <w:rFonts w:cs="Merriweather"/>
        </w:rPr>
        <w:t xml:space="preserve">service systems tend to </w:t>
      </w:r>
      <w:r>
        <w:rPr>
          <w:rFonts w:cs="Merriweather"/>
        </w:rPr>
        <w:t>revert from</w:t>
      </w:r>
      <w:r w:rsidRPr="00015BAD">
        <w:rPr>
          <w:rFonts w:cs="Merriweather"/>
        </w:rPr>
        <w:t xml:space="preserve"> innovation back to past practice</w:t>
      </w:r>
      <w:r>
        <w:rPr>
          <w:rFonts w:cs="Merriweather"/>
        </w:rPr>
        <w:t>s</w:t>
      </w:r>
      <w:r w:rsidRPr="00015BAD">
        <w:rPr>
          <w:rFonts w:cs="Merriweather"/>
        </w:rPr>
        <w:t xml:space="preserve">. </w:t>
      </w:r>
      <w:r>
        <w:rPr>
          <w:rFonts w:cs="Merriweather"/>
        </w:rPr>
        <w:t xml:space="preserve">Additionally, </w:t>
      </w:r>
      <w:r>
        <w:rPr>
          <w:rFonts w:cs="Merriweather"/>
        </w:rPr>
        <w:lastRenderedPageBreak/>
        <w:t>structural inequities that result in the marginalization of diverse community, family, and practitioner voices often limit the optimization of scale-up. These</w:t>
      </w:r>
      <w:r w:rsidRPr="00015BAD">
        <w:rPr>
          <w:rFonts w:cs="Merriweather"/>
        </w:rPr>
        <w:t xml:space="preserve"> challenge</w:t>
      </w:r>
      <w:r>
        <w:rPr>
          <w:rFonts w:cs="Merriweather"/>
        </w:rPr>
        <w:t>s</w:t>
      </w:r>
      <w:r w:rsidRPr="00015BAD">
        <w:rPr>
          <w:rFonts w:cs="Merriweather"/>
        </w:rPr>
        <w:t xml:space="preserve"> </w:t>
      </w:r>
      <w:r>
        <w:rPr>
          <w:rFonts w:cs="Merriweather"/>
        </w:rPr>
        <w:t>continue to</w:t>
      </w:r>
      <w:r w:rsidRPr="00015BAD">
        <w:rPr>
          <w:rFonts w:cs="Merriweather"/>
        </w:rPr>
        <w:t xml:space="preserve"> prevent evidence-based strategies from </w:t>
      </w:r>
      <w:r>
        <w:rPr>
          <w:rFonts w:cs="Merriweather"/>
        </w:rPr>
        <w:t>yielding</w:t>
      </w:r>
      <w:r w:rsidRPr="00015BAD">
        <w:rPr>
          <w:rFonts w:cs="Merriweather"/>
        </w:rPr>
        <w:t xml:space="preserve"> </w:t>
      </w:r>
      <w:r>
        <w:rPr>
          <w:rFonts w:cs="Merriweather"/>
        </w:rPr>
        <w:t>intended</w:t>
      </w:r>
      <w:r w:rsidRPr="00015BAD">
        <w:rPr>
          <w:rFonts w:cs="Merriweather"/>
        </w:rPr>
        <w:t xml:space="preserve"> outcomes.</w:t>
      </w:r>
      <w:r w:rsidR="00D2739D">
        <w:rPr>
          <w:rFonts w:cs="Merriweather"/>
        </w:rPr>
        <w:t xml:space="preserve"> </w:t>
      </w:r>
      <w:r w:rsidRPr="7E52F19B">
        <w:rPr>
          <w:rFonts w:cs="Merriweather"/>
        </w:rPr>
        <w:t>To address challenges related to implementation and scale-up</w:t>
      </w:r>
      <w:r>
        <w:rPr>
          <w:rFonts w:cs="Merriweather"/>
        </w:rPr>
        <w:t>,</w:t>
      </w:r>
      <w:r w:rsidRPr="7E52F19B">
        <w:rPr>
          <w:rFonts w:cs="Merriweather"/>
        </w:rPr>
        <w:t xml:space="preserve"> </w:t>
      </w:r>
      <w:r>
        <w:rPr>
          <w:rFonts w:cs="Merriweather"/>
        </w:rPr>
        <w:t>t</w:t>
      </w:r>
      <w:r w:rsidRPr="7E52F19B">
        <w:rPr>
          <w:rFonts w:cs="Merriweather"/>
        </w:rPr>
        <w:t xml:space="preserve">he ICTP projects </w:t>
      </w:r>
      <w:r>
        <w:rPr>
          <w:rFonts w:cs="Merriweather"/>
        </w:rPr>
        <w:t xml:space="preserve">utilize implementation science and related equity-informed practices to </w:t>
      </w:r>
      <w:r w:rsidRPr="7E52F19B">
        <w:rPr>
          <w:rFonts w:cs="Merriweather"/>
        </w:rPr>
        <w:t xml:space="preserve">develop methods, materials, and opportunities to support statewide partners and local communities in </w:t>
      </w:r>
      <w:r>
        <w:rPr>
          <w:rFonts w:cs="Merriweather"/>
        </w:rPr>
        <w:t>North Carolina</w:t>
      </w:r>
      <w:r w:rsidRPr="7E52F19B">
        <w:rPr>
          <w:rFonts w:cs="Merriweather"/>
        </w:rPr>
        <w:t xml:space="preserve"> and </w:t>
      </w:r>
      <w:r>
        <w:rPr>
          <w:rFonts w:cs="Merriweather"/>
        </w:rPr>
        <w:t>South Carolina</w:t>
      </w:r>
      <w:r w:rsidRPr="7E52F19B">
        <w:rPr>
          <w:rFonts w:cs="Merriweather"/>
        </w:rPr>
        <w:t xml:space="preserve"> to successfully and sustainably scale the </w:t>
      </w:r>
      <w:r>
        <w:rPr>
          <w:rFonts w:cs="Merriweather"/>
        </w:rPr>
        <w:t xml:space="preserve">Triple P – </w:t>
      </w:r>
      <w:r w:rsidRPr="7E52F19B">
        <w:rPr>
          <w:rFonts w:cs="Merriweather"/>
        </w:rPr>
        <w:t xml:space="preserve">Positive Parenting Program (Triple P) system of interventions. </w:t>
      </w:r>
      <w:r>
        <w:rPr>
          <w:rFonts w:cs="Merriweather"/>
        </w:rPr>
        <w:t>Our long-term goal is to support</w:t>
      </w:r>
      <w:r w:rsidRPr="7E52F19B">
        <w:rPr>
          <w:rFonts w:cs="Merriweather"/>
        </w:rPr>
        <w:t xml:space="preserve"> </w:t>
      </w:r>
      <w:r>
        <w:rPr>
          <w:rFonts w:cs="Merriweather"/>
        </w:rPr>
        <w:t xml:space="preserve">our partners to </w:t>
      </w:r>
      <w:r w:rsidRPr="7E52F19B">
        <w:rPr>
          <w:rFonts w:cs="Merriweather"/>
        </w:rPr>
        <w:t>realiz</w:t>
      </w:r>
      <w:r>
        <w:rPr>
          <w:rFonts w:cs="Merriweather"/>
        </w:rPr>
        <w:t>e</w:t>
      </w:r>
      <w:r w:rsidRPr="7E52F19B">
        <w:rPr>
          <w:rFonts w:cs="Merriweather"/>
        </w:rPr>
        <w:t xml:space="preserve"> </w:t>
      </w:r>
      <w:r>
        <w:rPr>
          <w:rFonts w:cs="Merriweather"/>
        </w:rPr>
        <w:t>intended</w:t>
      </w:r>
      <w:r w:rsidRPr="7E52F19B">
        <w:rPr>
          <w:rFonts w:cs="Merriweather"/>
        </w:rPr>
        <w:t xml:space="preserve"> population-level benefits </w:t>
      </w:r>
      <w:r>
        <w:rPr>
          <w:rFonts w:cs="Merriweather"/>
        </w:rPr>
        <w:t>while</w:t>
      </w:r>
      <w:r w:rsidRPr="7E52F19B">
        <w:rPr>
          <w:rFonts w:cs="Merriweather"/>
        </w:rPr>
        <w:t xml:space="preserve"> </w:t>
      </w:r>
      <w:r>
        <w:rPr>
          <w:rFonts w:cs="Merriweather"/>
        </w:rPr>
        <w:t xml:space="preserve">substantially reducing or eliminating </w:t>
      </w:r>
      <w:r w:rsidRPr="7E52F19B">
        <w:rPr>
          <w:rFonts w:cs="Merriweather"/>
        </w:rPr>
        <w:t xml:space="preserve">disparities </w:t>
      </w:r>
      <w:r>
        <w:rPr>
          <w:rFonts w:cs="Merriweather"/>
        </w:rPr>
        <w:t>among</w:t>
      </w:r>
      <w:r w:rsidRPr="7E52F19B">
        <w:rPr>
          <w:rFonts w:cs="Merriweather"/>
        </w:rPr>
        <w:t xml:space="preserve"> children, families, and communities</w:t>
      </w:r>
      <w:r>
        <w:rPr>
          <w:rFonts w:cs="Merriweather"/>
        </w:rPr>
        <w:t>, at least insofar as Triple P implementation and programmatic opportunities may afford</w:t>
      </w:r>
      <w:r w:rsidRPr="7E52F19B">
        <w:rPr>
          <w:rFonts w:cs="Merriweather"/>
        </w:rPr>
        <w:t>.</w:t>
      </w:r>
    </w:p>
    <w:p w14:paraId="45F063FB" w14:textId="49CF07CD" w:rsidR="00974A8E" w:rsidRDefault="00974A8E" w:rsidP="00974A8E">
      <w:pPr>
        <w:rPr>
          <w:rFonts w:cs="Merriweather"/>
        </w:rPr>
      </w:pPr>
    </w:p>
    <w:p w14:paraId="4D245446" w14:textId="53F0FFBF" w:rsidR="00974A8E" w:rsidRPr="00015BAD" w:rsidRDefault="00974A8E" w:rsidP="00974A8E">
      <w:r>
        <w:t>More specifically</w:t>
      </w:r>
      <w:r w:rsidRPr="7E52F19B">
        <w:t xml:space="preserve">, </w:t>
      </w:r>
      <w:r>
        <w:t xml:space="preserve">the </w:t>
      </w:r>
      <w:r w:rsidRPr="7E52F19B">
        <w:t xml:space="preserve">ICTP projects leverage </w:t>
      </w:r>
    </w:p>
    <w:p w14:paraId="05C1D428" w14:textId="5F902FEE" w:rsidR="00974A8E" w:rsidRPr="00015BAD" w:rsidRDefault="000D15CF" w:rsidP="00974A8E">
      <w:pPr>
        <w:pStyle w:val="ListBullet"/>
      </w:pPr>
      <w:r>
        <w:rPr>
          <w:noProof/>
        </w:rPr>
        <mc:AlternateContent>
          <mc:Choice Requires="wps">
            <w:drawing>
              <wp:anchor distT="0" distB="0" distL="114300" distR="114300" simplePos="0" relativeHeight="251726848" behindDoc="0" locked="0" layoutInCell="1" allowOverlap="1" wp14:anchorId="3BD0CFAC" wp14:editId="7FBA8371">
                <wp:simplePos x="0" y="0"/>
                <wp:positionH relativeFrom="column">
                  <wp:posOffset>-143803</wp:posOffset>
                </wp:positionH>
                <wp:positionV relativeFrom="paragraph">
                  <wp:posOffset>116135</wp:posOffset>
                </wp:positionV>
                <wp:extent cx="1163955" cy="1144270"/>
                <wp:effectExtent l="0" t="0" r="17145" b="11430"/>
                <wp:wrapNone/>
                <wp:docPr id="646263421" name="Rectangle 3" descr="Dive Deeper: Refer to brief 2 for more information."/>
                <wp:cNvGraphicFramePr/>
                <a:graphic xmlns:a="http://schemas.openxmlformats.org/drawingml/2006/main">
                  <a:graphicData uri="http://schemas.microsoft.com/office/word/2010/wordprocessingShape">
                    <wps:wsp>
                      <wps:cNvSpPr/>
                      <wps:spPr>
                        <a:xfrm>
                          <a:off x="0" y="0"/>
                          <a:ext cx="1163955" cy="1144270"/>
                        </a:xfrm>
                        <a:custGeom>
                          <a:avLst/>
                          <a:gdLst>
                            <a:gd name="connsiteX0" fmla="*/ 0 w 1518285"/>
                            <a:gd name="connsiteY0" fmla="*/ 0 h 1417320"/>
                            <a:gd name="connsiteX1" fmla="*/ 986536 w 1518285"/>
                            <a:gd name="connsiteY1" fmla="*/ 0 h 1417320"/>
                            <a:gd name="connsiteX2" fmla="*/ 986536 w 1518285"/>
                            <a:gd name="connsiteY2" fmla="*/ 708660 h 1417320"/>
                            <a:gd name="connsiteX3" fmla="*/ 1163955 w 1518285"/>
                            <a:gd name="connsiteY3" fmla="*/ 708660 h 1417320"/>
                            <a:gd name="connsiteX4" fmla="*/ 1163955 w 1518285"/>
                            <a:gd name="connsiteY4" fmla="*/ 708660 h 1417320"/>
                            <a:gd name="connsiteX5" fmla="*/ 1518285 w 1518285"/>
                            <a:gd name="connsiteY5" fmla="*/ 708660 h 1417320"/>
                            <a:gd name="connsiteX6" fmla="*/ 1163955 w 1518285"/>
                            <a:gd name="connsiteY6" fmla="*/ 708660 h 1417320"/>
                            <a:gd name="connsiteX7" fmla="*/ 1163955 w 1518285"/>
                            <a:gd name="connsiteY7" fmla="*/ 708660 h 1417320"/>
                            <a:gd name="connsiteX8" fmla="*/ 986536 w 1518285"/>
                            <a:gd name="connsiteY8" fmla="*/ 708660 h 1417320"/>
                            <a:gd name="connsiteX9" fmla="*/ 986536 w 1518285"/>
                            <a:gd name="connsiteY9" fmla="*/ 1417320 h 1417320"/>
                            <a:gd name="connsiteX10" fmla="*/ 0 w 1518285"/>
                            <a:gd name="connsiteY10" fmla="*/ 1417320 h 1417320"/>
                            <a:gd name="connsiteX11" fmla="*/ 0 w 1518285"/>
                            <a:gd name="connsiteY11" fmla="*/ 0 h 1417320"/>
                            <a:gd name="connsiteX0" fmla="*/ 0 w 1163955"/>
                            <a:gd name="connsiteY0" fmla="*/ 0 h 1417320"/>
                            <a:gd name="connsiteX1" fmla="*/ 986536 w 1163955"/>
                            <a:gd name="connsiteY1" fmla="*/ 0 h 1417320"/>
                            <a:gd name="connsiteX2" fmla="*/ 986536 w 1163955"/>
                            <a:gd name="connsiteY2" fmla="*/ 708660 h 1417320"/>
                            <a:gd name="connsiteX3" fmla="*/ 1163955 w 1163955"/>
                            <a:gd name="connsiteY3" fmla="*/ 708660 h 1417320"/>
                            <a:gd name="connsiteX4" fmla="*/ 1163955 w 1163955"/>
                            <a:gd name="connsiteY4" fmla="*/ 708660 h 1417320"/>
                            <a:gd name="connsiteX5" fmla="*/ 1163955 w 1163955"/>
                            <a:gd name="connsiteY5" fmla="*/ 708660 h 1417320"/>
                            <a:gd name="connsiteX6" fmla="*/ 1163955 w 1163955"/>
                            <a:gd name="connsiteY6" fmla="*/ 708660 h 1417320"/>
                            <a:gd name="connsiteX7" fmla="*/ 986536 w 1163955"/>
                            <a:gd name="connsiteY7" fmla="*/ 708660 h 1417320"/>
                            <a:gd name="connsiteX8" fmla="*/ 986536 w 1163955"/>
                            <a:gd name="connsiteY8" fmla="*/ 1417320 h 1417320"/>
                            <a:gd name="connsiteX9" fmla="*/ 0 w 1163955"/>
                            <a:gd name="connsiteY9" fmla="*/ 1417320 h 1417320"/>
                            <a:gd name="connsiteX10" fmla="*/ 0 w 1163955"/>
                            <a:gd name="connsiteY10" fmla="*/ 0 h 141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3955" h="1417320">
                              <a:moveTo>
                                <a:pt x="0" y="0"/>
                              </a:moveTo>
                              <a:lnTo>
                                <a:pt x="986536" y="0"/>
                              </a:lnTo>
                              <a:lnTo>
                                <a:pt x="986536" y="708660"/>
                              </a:lnTo>
                              <a:lnTo>
                                <a:pt x="1163955" y="708660"/>
                              </a:lnTo>
                              <a:lnTo>
                                <a:pt x="1163955" y="708660"/>
                              </a:lnTo>
                              <a:lnTo>
                                <a:pt x="1163955" y="708660"/>
                              </a:lnTo>
                              <a:lnTo>
                                <a:pt x="1163955" y="708660"/>
                              </a:lnTo>
                              <a:lnTo>
                                <a:pt x="986536" y="708660"/>
                              </a:lnTo>
                              <a:lnTo>
                                <a:pt x="986536" y="1417320"/>
                              </a:lnTo>
                              <a:lnTo>
                                <a:pt x="0" y="1417320"/>
                              </a:lnTo>
                              <a:lnTo>
                                <a:pt x="0" y="0"/>
                              </a:lnTo>
                              <a:close/>
                            </a:path>
                          </a:pathLst>
                        </a:cu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08952FB" w14:textId="77777777" w:rsidR="000D15CF" w:rsidRPr="00245ACC" w:rsidRDefault="000D15CF" w:rsidP="000D15CF">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F41381B" w14:textId="77777777" w:rsidR="000D15CF" w:rsidRPr="00214E7F" w:rsidRDefault="000D15CF" w:rsidP="000D15CF">
                            <w:pPr>
                              <w:pStyle w:val="FigureTitles"/>
                              <w:rPr>
                                <w:b w:val="0"/>
                                <w:bCs w:val="0"/>
                                <w:color w:val="000000" w:themeColor="text1"/>
                                <w:sz w:val="16"/>
                                <w:szCs w:val="16"/>
                                <w14:textOutline w14:w="12700" w14:cap="rnd" w14:cmpd="sng" w14:algn="ctr">
                                  <w14:noFill/>
                                  <w14:prstDash w14:val="solid"/>
                                  <w14:bevel/>
                                </w14:textOutline>
                              </w:rPr>
                            </w:pPr>
                            <w:r w:rsidRPr="00214E7F">
                              <w:rPr>
                                <w:b w:val="0"/>
                                <w:bCs w:val="0"/>
                                <w:color w:val="000000" w:themeColor="text1"/>
                                <w:sz w:val="16"/>
                                <w:szCs w:val="16"/>
                                <w14:textOutline w14:w="12700" w14:cap="rnd" w14:cmpd="sng" w14:algn="ctr">
                                  <w14:noFill/>
                                  <w14:prstDash w14:val="solid"/>
                                  <w14:bevel/>
                                </w14:textOutline>
                              </w:rPr>
                              <w:t xml:space="preserve">Refer </w:t>
                            </w:r>
                            <w:r w:rsidRPr="00214E7F">
                              <w:rPr>
                                <w:color w:val="000000" w:themeColor="text1"/>
                                <w:sz w:val="16"/>
                                <w:szCs w:val="16"/>
                                <w14:textOutline w14:w="12700" w14:cap="rnd" w14:cmpd="sng" w14:algn="ctr">
                                  <w14:noFill/>
                                  <w14:prstDash w14:val="solid"/>
                                  <w14:bevel/>
                                </w14:textOutline>
                              </w:rPr>
                              <w:t>Brief #2</w:t>
                            </w:r>
                            <w:r w:rsidRPr="00214E7F">
                              <w:rPr>
                                <w:b w:val="0"/>
                                <w:bCs w:val="0"/>
                                <w:color w:val="000000" w:themeColor="text1"/>
                                <w:sz w:val="16"/>
                                <w:szCs w:val="16"/>
                                <w14:textOutline w14:w="12700" w14:cap="rnd" w14:cmpd="sng" w14:algn="ctr">
                                  <w14:noFill/>
                                  <w14:prstDash w14:val="solid"/>
                                  <w14:bevel/>
                                </w14:textOutline>
                              </w:rPr>
                              <w:t xml:space="preserve">: </w:t>
                            </w:r>
                            <w:hyperlink r:id="rId9" w:history="1">
                              <w:r w:rsidRPr="00424CE1">
                                <w:rPr>
                                  <w:rStyle w:val="Hyperlink"/>
                                  <w:b w:val="0"/>
                                  <w:bCs w:val="0"/>
                                  <w:sz w:val="16"/>
                                  <w:szCs w:val="16"/>
                                  <w14:textOutline w14:w="12700" w14:cap="rnd" w14:cmpd="sng" w14:algn="ctr">
                                    <w14:noFill/>
                                    <w14:prstDash w14:val="solid"/>
                                    <w14:bevel/>
                                  </w14:textOutline>
                                </w:rPr>
                                <w:t>NC Triple P Implementation Evaluation</w:t>
                              </w:r>
                              <w:r>
                                <w:rPr>
                                  <w:rStyle w:val="Hyperlink"/>
                                  <w:b w:val="0"/>
                                  <w:bCs w:val="0"/>
                                  <w:sz w:val="16"/>
                                  <w:szCs w:val="16"/>
                                  <w14:textOutline w14:w="12700" w14:cap="rnd" w14:cmpd="sng" w14:algn="ctr">
                                    <w14:noFill/>
                                    <w14:prstDash w14:val="solid"/>
                                    <w14:bevel/>
                                  </w14:textOutline>
                                </w:rPr>
                                <w:t>,</w:t>
                              </w:r>
                            </w:hyperlink>
                            <w:r>
                              <w:rPr>
                                <w:rStyle w:val="Hyperlink"/>
                                <w:b w:val="0"/>
                                <w:bCs w:val="0"/>
                                <w:sz w:val="16"/>
                                <w:szCs w:val="16"/>
                                <w14:textOutline w14:w="12700" w14:cap="rnd" w14:cmpd="sng" w14:algn="ctr">
                                  <w14:noFill/>
                                  <w14:prstDash w14:val="solid"/>
                                  <w14:bevel/>
                                </w14:textOutline>
                              </w:rPr>
                              <w:t xml:space="preserve"> </w:t>
                            </w:r>
                            <w:r w:rsidRPr="00214E7F">
                              <w:rPr>
                                <w:rStyle w:val="Hyperlink"/>
                                <w:b w:val="0"/>
                                <w:bCs w:val="0"/>
                                <w:color w:val="000000" w:themeColor="text1"/>
                                <w:sz w:val="16"/>
                                <w:szCs w:val="16"/>
                                <w:u w:val="none"/>
                                <w14:textOutline w14:w="12700" w14:cap="rnd" w14:cmpd="sng" w14:algn="ctr">
                                  <w14:noFill/>
                                  <w14:prstDash w14:val="solid"/>
                                  <w14:bevel/>
                                </w14:textOutline>
                              </w:rPr>
                              <w:t>for more information.</w:t>
                            </w:r>
                          </w:p>
                        </w:txbxContent>
                      </wps:txbx>
                      <wps:bodyPr rot="0" spcFirstLastPara="0" vertOverflow="overflow" horzOverflow="overflow" vert="horz" wrap="square" lIns="91440" tIns="91440" rIns="27432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D0CFAC" id="Rectangle 3" o:spid="_x0000_s1028" alt="Dive Deeper: Refer to brief 2 for more information." style="position:absolute;left:0;text-align:left;margin-left:-11.3pt;margin-top:9.15pt;width:91.65pt;height:9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3955,14173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" adj="-11796480,,5400" path="m,l986536,r,708660l1163955,708660r,l1163955,708660r,l986536,708660r,708660l,1417320,,xe" filled="f" strokecolor="#20bec7" strokeweight="1pt">
                <v:stroke joinstyle="miter"/>
                <v:formulas/>
                <v:path arrowok="t" o:connecttype="custom" o:connectlocs="0,0;986536,0;986536,572135;1163955,572135;1163955,572135;1163955,572135;1163955,572135;986536,572135;986536,1144270;0,1144270;0,0" o:connectangles="0,0,0,0,0,0,0,0,0,0,0" textboxrect="0,0,1163955,1417320"/>
                <v:textbox inset=",7.2pt,21.6pt,0">
                  <w:txbxContent>
                    <w:p w14:paraId="408952FB" w14:textId="77777777" w:rsidR="000D15CF" w:rsidRPr="00245ACC" w:rsidRDefault="000D15CF" w:rsidP="000D15CF">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F41381B" w14:textId="77777777" w:rsidR="000D15CF" w:rsidRPr="00214E7F" w:rsidRDefault="000D15CF" w:rsidP="000D15CF">
                      <w:pPr>
                        <w:pStyle w:val="FigureTitles"/>
                        <w:rPr>
                          <w:b w:val="0"/>
                          <w:bCs w:val="0"/>
                          <w:color w:val="000000" w:themeColor="text1"/>
                          <w:sz w:val="16"/>
                          <w:szCs w:val="16"/>
                          <w14:textOutline w14:w="12700" w14:cap="rnd" w14:cmpd="sng" w14:algn="ctr">
                            <w14:noFill/>
                            <w14:prstDash w14:val="solid"/>
                            <w14:bevel/>
                          </w14:textOutline>
                        </w:rPr>
                      </w:pPr>
                      <w:r w:rsidRPr="00214E7F">
                        <w:rPr>
                          <w:b w:val="0"/>
                          <w:bCs w:val="0"/>
                          <w:color w:val="000000" w:themeColor="text1"/>
                          <w:sz w:val="16"/>
                          <w:szCs w:val="16"/>
                          <w14:textOutline w14:w="12700" w14:cap="rnd" w14:cmpd="sng" w14:algn="ctr">
                            <w14:noFill/>
                            <w14:prstDash w14:val="solid"/>
                            <w14:bevel/>
                          </w14:textOutline>
                        </w:rPr>
                        <w:t xml:space="preserve">Refer </w:t>
                      </w:r>
                      <w:r w:rsidRPr="00214E7F">
                        <w:rPr>
                          <w:color w:val="000000" w:themeColor="text1"/>
                          <w:sz w:val="16"/>
                          <w:szCs w:val="16"/>
                          <w14:textOutline w14:w="12700" w14:cap="rnd" w14:cmpd="sng" w14:algn="ctr">
                            <w14:noFill/>
                            <w14:prstDash w14:val="solid"/>
                            <w14:bevel/>
                          </w14:textOutline>
                        </w:rPr>
                        <w:t>Brief #2</w:t>
                      </w:r>
                      <w:r w:rsidRPr="00214E7F">
                        <w:rPr>
                          <w:b w:val="0"/>
                          <w:bCs w:val="0"/>
                          <w:color w:val="000000" w:themeColor="text1"/>
                          <w:sz w:val="16"/>
                          <w:szCs w:val="16"/>
                          <w14:textOutline w14:w="12700" w14:cap="rnd" w14:cmpd="sng" w14:algn="ctr">
                            <w14:noFill/>
                            <w14:prstDash w14:val="solid"/>
                            <w14:bevel/>
                          </w14:textOutline>
                        </w:rPr>
                        <w:t xml:space="preserve">: </w:t>
                      </w:r>
                      <w:hyperlink r:id="rId10" w:history="1">
                        <w:r w:rsidRPr="00424CE1">
                          <w:rPr>
                            <w:rStyle w:val="Hyperlink"/>
                            <w:b w:val="0"/>
                            <w:bCs w:val="0"/>
                            <w:sz w:val="16"/>
                            <w:szCs w:val="16"/>
                            <w14:textOutline w14:w="12700" w14:cap="rnd" w14:cmpd="sng" w14:algn="ctr">
                              <w14:noFill/>
                              <w14:prstDash w14:val="solid"/>
                              <w14:bevel/>
                            </w14:textOutline>
                          </w:rPr>
                          <w:t>NC Triple P Implementation Evaluation</w:t>
                        </w:r>
                        <w:r>
                          <w:rPr>
                            <w:rStyle w:val="Hyperlink"/>
                            <w:b w:val="0"/>
                            <w:bCs w:val="0"/>
                            <w:sz w:val="16"/>
                            <w:szCs w:val="16"/>
                            <w14:textOutline w14:w="12700" w14:cap="rnd" w14:cmpd="sng" w14:algn="ctr">
                              <w14:noFill/>
                              <w14:prstDash w14:val="solid"/>
                              <w14:bevel/>
                            </w14:textOutline>
                          </w:rPr>
                          <w:t>,</w:t>
                        </w:r>
                      </w:hyperlink>
                      <w:r>
                        <w:rPr>
                          <w:rStyle w:val="Hyperlink"/>
                          <w:b w:val="0"/>
                          <w:bCs w:val="0"/>
                          <w:sz w:val="16"/>
                          <w:szCs w:val="16"/>
                          <w14:textOutline w14:w="12700" w14:cap="rnd" w14:cmpd="sng" w14:algn="ctr">
                            <w14:noFill/>
                            <w14:prstDash w14:val="solid"/>
                            <w14:bevel/>
                          </w14:textOutline>
                        </w:rPr>
                        <w:t xml:space="preserve"> </w:t>
                      </w:r>
                      <w:r w:rsidRPr="00214E7F">
                        <w:rPr>
                          <w:rStyle w:val="Hyperlink"/>
                          <w:b w:val="0"/>
                          <w:bCs w:val="0"/>
                          <w:color w:val="000000" w:themeColor="text1"/>
                          <w:sz w:val="16"/>
                          <w:szCs w:val="16"/>
                          <w:u w:val="none"/>
                          <w14:textOutline w14:w="12700" w14:cap="rnd" w14:cmpd="sng" w14:algn="ctr">
                            <w14:noFill/>
                            <w14:prstDash w14:val="solid"/>
                            <w14:bevel/>
                          </w14:textOutline>
                        </w:rPr>
                        <w:t>for more information.</w:t>
                      </w:r>
                    </w:p>
                  </w:txbxContent>
                </v:textbox>
              </v:shape>
            </w:pict>
          </mc:Fallback>
        </mc:AlternateContent>
      </w:r>
      <w:r w:rsidR="00974A8E">
        <w:t>c</w:t>
      </w:r>
      <w:r w:rsidR="00974A8E" w:rsidRPr="00015BAD">
        <w:t xml:space="preserve">urrent research and </w:t>
      </w:r>
      <w:r w:rsidR="00974A8E">
        <w:t>effective</w:t>
      </w:r>
      <w:r w:rsidR="00974A8E" w:rsidRPr="00015BAD">
        <w:t xml:space="preserve"> practices from implementation science,</w:t>
      </w:r>
      <w:r w:rsidR="00974A8E">
        <w:t xml:space="preserve"> particularly those that reinforce health equity and may help counteract historical system and community </w:t>
      </w:r>
      <w:proofErr w:type="gramStart"/>
      <w:r w:rsidR="00974A8E">
        <w:t>inequities;</w:t>
      </w:r>
      <w:proofErr w:type="gramEnd"/>
      <w:r w:rsidR="00974A8E">
        <w:t xml:space="preserve"> </w:t>
      </w:r>
    </w:p>
    <w:p w14:paraId="77F4A405" w14:textId="08A1B3C3" w:rsidR="00974A8E" w:rsidRDefault="00974A8E" w:rsidP="00974A8E">
      <w:pPr>
        <w:pStyle w:val="ListBullet"/>
      </w:pPr>
      <w:r w:rsidRPr="00424CE1">
        <w:rPr>
          <w:shd w:val="clear" w:color="auto" w:fill="EEF6FA"/>
        </w:rPr>
        <w:t>mixed-methods evaluation findings from the North Carolina Triple P Implementation Evaluations (TPIE and TPIE-Qualitative);</w:t>
      </w:r>
      <w:r>
        <w:t xml:space="preserve"> </w:t>
      </w:r>
      <w:r w:rsidRPr="00015BAD">
        <w:t>and</w:t>
      </w:r>
    </w:p>
    <w:p w14:paraId="7F455B6F" w14:textId="4B0F99EC" w:rsidR="00974A8E" w:rsidRDefault="00974A8E" w:rsidP="00974A8E">
      <w:pPr>
        <w:pStyle w:val="ListBullet"/>
      </w:pPr>
      <w:r>
        <w:t>p</w:t>
      </w:r>
      <w:r w:rsidRPr="009936C6">
        <w:t>artnerships with statewide stakeholders involved in scaling-up the Triple P system.</w:t>
      </w:r>
    </w:p>
    <w:p w14:paraId="22D1A8B0" w14:textId="77777777" w:rsidR="00974A8E" w:rsidRDefault="00974A8E" w:rsidP="00974A8E"/>
    <w:p w14:paraId="3A042C4D" w14:textId="6041290C" w:rsidR="00974A8E" w:rsidRDefault="00974A8E" w:rsidP="00974A8E">
      <w:r>
        <w:rPr>
          <w:color w:val="000000" w:themeColor="text1"/>
          <w:sz w:val="24"/>
          <w:szCs w:val="24"/>
        </w:rPr>
        <w:t>In the next section,</w:t>
      </w:r>
      <w:r w:rsidRPr="006805DA">
        <w:rPr>
          <w:color w:val="000000" w:themeColor="text1"/>
          <w:sz w:val="24"/>
          <w:szCs w:val="24"/>
        </w:rPr>
        <w:t xml:space="preserve"> we offer a brief synopsis of the components of implementation science</w:t>
      </w:r>
      <w:r>
        <w:rPr>
          <w:color w:val="000000" w:themeColor="text1"/>
          <w:sz w:val="24"/>
          <w:szCs w:val="24"/>
        </w:rPr>
        <w:t xml:space="preserve"> as they pertain to the ICTP projects</w:t>
      </w:r>
      <w:r w:rsidRPr="006805DA">
        <w:rPr>
          <w:color w:val="000000" w:themeColor="text1"/>
          <w:sz w:val="24"/>
          <w:szCs w:val="24"/>
        </w:rPr>
        <w:t>.</w:t>
      </w:r>
    </w:p>
    <w:p w14:paraId="52FAE7E3" w14:textId="172493E3" w:rsidR="008F52B4" w:rsidRDefault="008F52B4" w:rsidP="008F52B4"/>
    <w:p w14:paraId="3FB8FE5B" w14:textId="77777777" w:rsidR="00D2739D" w:rsidRDefault="00D2739D" w:rsidP="008F52B4"/>
    <w:p w14:paraId="31C31BB2" w14:textId="77777777" w:rsidR="00974A8E" w:rsidRPr="008203A8" w:rsidRDefault="00974A8E" w:rsidP="00974A8E">
      <w:pPr>
        <w:pStyle w:val="Heading2"/>
        <w:spacing w:before="240"/>
        <w:rPr>
          <w:rFonts w:cstheme="majorHAnsi"/>
        </w:rPr>
      </w:pPr>
      <w:r w:rsidRPr="008203A8">
        <w:rPr>
          <w:rFonts w:cstheme="majorHAnsi"/>
        </w:rPr>
        <w:t>Implementation Science: Research &amp; Practice</w:t>
      </w:r>
    </w:p>
    <w:p w14:paraId="250A3EE0" w14:textId="77777777" w:rsidR="00974A8E" w:rsidRDefault="00974A8E" w:rsidP="00974A8E">
      <w:r>
        <w:t xml:space="preserve">Implementation science is </w:t>
      </w:r>
      <w:r w:rsidRPr="00AE6868">
        <w:t>defined as “the scientific study of methods to promote the systematic uptake of research findings and other evidence-based practices into routine practice, and, hence, to improve the quality and effectiveness of health services</w:t>
      </w:r>
      <w:r>
        <w:t xml:space="preserve"> and care</w:t>
      </w:r>
      <w:r w:rsidRPr="00AE6868">
        <w:t>”</w:t>
      </w:r>
      <w:r>
        <w:t xml:space="preserve"> [3].</w:t>
      </w:r>
      <w:r w:rsidRPr="00AE6868">
        <w:t xml:space="preserve"> </w:t>
      </w:r>
      <w:r>
        <w:t xml:space="preserve">In accordance with this definition, implementation science is evolving into a field that recognizes both research and practice activities (see Figure 4.1; </w:t>
      </w:r>
      <w:r>
        <w:fldChar w:fldCharType="begin"/>
      </w:r>
      <w:r>
        <w:instrText xml:space="preserve"> ADDIN EN.CITE &lt;EndNote&gt;&lt;Cite&gt;&lt;Author&gt;Ramaswamy&lt;/Author&gt;&lt;Year&gt;2019&lt;/Year&gt;&lt;RecNum&gt;3920&lt;/RecNum&gt;&lt;DisplayText&gt;[8]&lt;/DisplayText&gt;&lt;record&gt;&lt;rec-number&gt;3920&lt;/rec-number&gt;&lt;foreign-keys&gt;&lt;key app="EN" db-id="92tw0sxaredrdoeva2ovde9md0ept0ezp55z" timestamp="1591022073"&gt;3920&lt;/key&gt;&lt;/foreign-keys&gt;&lt;ref-type name="Journal Article"&gt;17&lt;/ref-type&gt;&lt;contributors&gt;&lt;authors&gt;&lt;author&gt;Ramaswamy, R.&lt;/author&gt;&lt;author&gt;Mosnier, J.&lt;/author&gt;&lt;author&gt;Reed, K.&lt;/author&gt;&lt;author&gt;Powell, B. J.&lt;/author&gt;&lt;author&gt;Schenck, A. P.&lt;/author&gt;&lt;/authors&gt;&lt;/contributors&gt;&lt;auth-address&gt;Gillings School of Global Public Health, University of North Carolina, Chapel Hill, USA. ramaswam@email.unc.edu.&amp;#xD;Gillings School of Global Public Health, University of North Carolina, Chapel Hill, USA.&lt;/auth-address&gt;&lt;titles&gt;&lt;title&gt;Building capacity for Public Health 3.0: introducing implementation science into an MPH curriculum&lt;/title&gt;&lt;secondary-title&gt;Implement Sci&lt;/secondary-title&gt;&lt;/titles&gt;&lt;periodical&gt;&lt;full-title&gt;Implement Sci&lt;/full-title&gt;&lt;/periodical&gt;&lt;pages&gt;18&lt;/pages&gt;&lt;volume&gt;14&lt;/volume&gt;&lt;number&gt;1&lt;/number&gt;&lt;edition&gt;2019/03/02&lt;/edition&gt;&lt;keywords&gt;&lt;keyword&gt;*Capacity Building&lt;/keyword&gt;&lt;keyword&gt;Curriculum&lt;/keyword&gt;&lt;keyword&gt;Education, Graduate/*methods&lt;/keyword&gt;&lt;keyword&gt;Humans&lt;/keyword&gt;&lt;keyword&gt;*Implementation Science&lt;/keyword&gt;&lt;keyword&gt;North Carolina&lt;/keyword&gt;&lt;keyword&gt;Professional Competence/standards&lt;/keyword&gt;&lt;keyword&gt;Public Health/*education&lt;/keyword&gt;&lt;keyword&gt;Schools, Medical&lt;/keyword&gt;&lt;keyword&gt;*Global health&lt;/keyword&gt;&lt;keyword&gt;*Public Health 3.0&lt;/keyword&gt;&lt;/keywords&gt;&lt;dates&gt;&lt;year&gt;2019&lt;/year&gt;&lt;pub-dates&gt;&lt;date&gt;Feb 28&lt;/date&gt;&lt;/pub-dates&gt;&lt;/dates&gt;&lt;isbn&gt;1748-5908 (Electronic)&amp;#xD;1748-5908 (Linking)&lt;/isbn&gt;&lt;accession-num&gt;30819223&lt;/accession-num&gt;&lt;urls&gt;&lt;related-urls&gt;&lt;url&gt;https://www.ncbi.nlm.nih.gov/pubmed/30819223&lt;/url&gt;&lt;/related-urls&gt;&lt;/urls&gt;&lt;custom2&gt;PMC6396520&lt;/custom2&gt;&lt;electronic-resource-num&gt;10.1186/s13012-019-0866-6&lt;/electronic-resource-num&gt;&lt;/record&gt;&lt;/Cite&gt;&lt;/EndNote&gt;</w:instrText>
      </w:r>
      <w:r>
        <w:fldChar w:fldCharType="separate"/>
      </w:r>
      <w:r>
        <w:rPr>
          <w:noProof/>
        </w:rPr>
        <w:t>[4]</w:t>
      </w:r>
      <w:r>
        <w:fldChar w:fldCharType="end"/>
      </w:r>
      <w:r>
        <w:t xml:space="preserve">). </w:t>
      </w:r>
      <w:r w:rsidRPr="1AEF4C3F">
        <w:rPr>
          <w:i/>
          <w:iCs/>
        </w:rPr>
        <w:t>Implementation research</w:t>
      </w:r>
      <w:r>
        <w:t xml:space="preserve"> focuses on developing and testing generalizable approaches to applying effective interventions (e.g., programs, practices, and policies) in </w:t>
      </w:r>
      <w:r>
        <w:lastRenderedPageBreak/>
        <w:t xml:space="preserve">typical human service settings. </w:t>
      </w:r>
      <w:r w:rsidRPr="1AEF4C3F">
        <w:rPr>
          <w:i/>
          <w:iCs/>
        </w:rPr>
        <w:t>Implementation practice</w:t>
      </w:r>
      <w:r>
        <w:t xml:space="preserve"> focuses on tailoring and applying those approaches within context-specific settings to achieve intended outcomes. Implementation research and practice also entail developing innovative interventions or adapting existing effective interventions in real-world practice settings. Implementation research and practice operate on a common set of implementation outcomes: adoption, feasibility, appropriateness, fidelity, acceptability, reach, cost, and sustainability </w:t>
      </w:r>
      <w:r>
        <w:fldChar w:fldCharType="begin"/>
      </w:r>
      <w:r>
        <w:instrText xml:space="preserve"> ADDIN EN.CITE &lt;EndNote&gt;&lt;Cite&gt;&lt;Author&gt;Proctor&lt;/Author&gt;&lt;Year&gt;2011&lt;/Year&gt;&lt;RecNum&gt;3376&lt;/RecNum&gt;&lt;DisplayText&gt;[9]&lt;/DisplayText&gt;&lt;record&gt;&lt;rec-number&gt;3376&lt;/rec-number&gt;&lt;foreign-keys&gt;&lt;key app="EN" db-id="92tw0sxaredrdoeva2ovde9md0ept0ezp55z" timestamp="0"&gt;3376&lt;/key&gt;&lt;/foreign-keys&gt;&lt;ref-type name="Journal Article"&gt;17&lt;/ref-type&gt;&lt;contributors&gt;&lt;authors&gt;&lt;author&gt;Proctor, Enola&lt;/author&gt;&lt;author&gt;Silmere, Hiie&lt;/author&gt;&lt;author&gt;Raghavan, Ramesh&lt;/author&gt;&lt;author&gt;Hovmand, Peter&lt;/author&gt;&lt;author&gt;Aarons, Greg&lt;/author&gt;&lt;author&gt;Bunger, Alicia&lt;/author&gt;&lt;author&gt;Griffey, Richard&lt;/author&gt;&lt;author&gt;Hensley, Melissa&lt;/author&gt;&lt;/authors&gt;&lt;/contributors&gt;&lt;titles&gt;&lt;title&gt;Outcomes for Implementation Research: Conceptual Distinctions, Measurement Challenges, and Research Agenda&lt;/title&gt;&lt;secondary-title&gt;Administration and Policy in Mental Health and Mental Health Services Research&lt;/secondary-title&gt;&lt;/titles&gt;&lt;periodical&gt;&lt;full-title&gt;Administration and Policy in Mental Health and Mental Health Services Research&lt;/full-title&gt;&lt;/periodical&gt;&lt;pages&gt;65-76&lt;/pages&gt;&lt;volume&gt;38&lt;/volume&gt;&lt;number&gt;2&lt;/number&gt;&lt;dates&gt;&lt;year&gt;2011&lt;/year&gt;&lt;/dates&gt;&lt;isbn&gt;1573-3289&lt;/isbn&gt;&lt;label&gt;Proctor2011&lt;/label&gt;&lt;work-type&gt;journal article&lt;/work-type&gt;&lt;urls&gt;&lt;related-urls&gt;&lt;url&gt;http://dx.doi.org/10.1007/s10488-010-0319-7&lt;/url&gt;&lt;/related-urls&gt;&lt;/urls&gt;&lt;electronic-resource-num&gt;10.1007/s10488-010-0319-7&lt;/electronic-resource-num&gt;&lt;/record&gt;&lt;/Cite&gt;&lt;/EndNote&gt;</w:instrText>
      </w:r>
      <w:r>
        <w:fldChar w:fldCharType="separate"/>
      </w:r>
      <w:r>
        <w:rPr>
          <w:noProof/>
        </w:rPr>
        <w:t>[5]</w:t>
      </w:r>
      <w:r>
        <w:fldChar w:fldCharType="end"/>
      </w:r>
      <w:r>
        <w:t>.</w:t>
      </w:r>
    </w:p>
    <w:p w14:paraId="53896D06" w14:textId="77777777" w:rsidR="00974A8E" w:rsidRDefault="00974A8E" w:rsidP="00974A8E"/>
    <w:p w14:paraId="61632ACB" w14:textId="7D498885" w:rsidR="004F3458" w:rsidRPr="00C75F47" w:rsidRDefault="00974A8E" w:rsidP="00C75F47">
      <w:pPr>
        <w:pStyle w:val="Caption"/>
      </w:pPr>
      <w:r>
        <w:rPr>
          <w:b/>
          <w:bCs/>
        </w:rPr>
        <w:t>Figu</w:t>
      </w:r>
      <w:r w:rsidRPr="00A37A44">
        <w:rPr>
          <w:b/>
          <w:bCs/>
        </w:rPr>
        <w:t xml:space="preserve">re </w:t>
      </w:r>
      <w:r>
        <w:rPr>
          <w:b/>
          <w:bCs/>
        </w:rPr>
        <w:t>4.</w:t>
      </w:r>
      <w:r w:rsidRPr="00A37A44">
        <w:rPr>
          <w:b/>
          <w:bCs/>
          <w:i/>
        </w:rPr>
        <w:fldChar w:fldCharType="begin"/>
      </w:r>
      <w:r w:rsidRPr="00A37A44">
        <w:rPr>
          <w:b/>
          <w:bCs/>
        </w:rPr>
        <w:instrText xml:space="preserve"> SEQ Figure \* ARABIC </w:instrText>
      </w:r>
      <w:r w:rsidRPr="00A37A44">
        <w:rPr>
          <w:b/>
          <w:bCs/>
          <w:i/>
        </w:rPr>
        <w:fldChar w:fldCharType="separate"/>
      </w:r>
      <w:r>
        <w:rPr>
          <w:b/>
          <w:bCs/>
          <w:noProof/>
        </w:rPr>
        <w:t>1</w:t>
      </w:r>
      <w:r w:rsidRPr="00A37A44">
        <w:rPr>
          <w:b/>
          <w:bCs/>
          <w:i/>
          <w:noProof/>
        </w:rPr>
        <w:fldChar w:fldCharType="end"/>
      </w:r>
      <w:r w:rsidRPr="00A37A44">
        <w:t xml:space="preserve"> The </w:t>
      </w:r>
      <w:r w:rsidRPr="00C925C7">
        <w:t>Two Equally Important Components</w:t>
      </w:r>
      <w:r w:rsidRPr="00C925C7">
        <w:rPr>
          <w:noProof/>
        </w:rPr>
        <w:t xml:space="preserve"> </w:t>
      </w:r>
      <w:r w:rsidRPr="00A37A44">
        <w:rPr>
          <w:noProof/>
        </w:rPr>
        <w:t xml:space="preserve">of </w:t>
      </w:r>
      <w:r w:rsidRPr="00C925C7">
        <w:rPr>
          <w:noProof/>
        </w:rPr>
        <w:t>Implementation Science</w:t>
      </w:r>
      <w:r>
        <w:rPr>
          <w:noProof/>
        </w:rPr>
        <w:t xml:space="preserve"> [4, p. 2]</w:t>
      </w:r>
    </w:p>
    <w:p w14:paraId="346D9E5D" w14:textId="166135C6" w:rsidR="00BC67E3" w:rsidRDefault="00974A8E" w:rsidP="00ED7F6F">
      <w:pPr>
        <w:rPr>
          <w:rFonts w:eastAsia="Libre Baskerville"/>
          <w:b/>
          <w:bCs/>
        </w:rPr>
      </w:pPr>
      <w:r w:rsidRPr="0011532D">
        <w:rPr>
          <w:rFonts w:ascii="Libre Baskerville" w:hAnsi="Libre Baskerville" w:cs="Merriweather"/>
          <w:noProof/>
        </w:rPr>
        <w:drawing>
          <wp:inline distT="0" distB="0" distL="0" distR="0" wp14:anchorId="2A589B9D" wp14:editId="35C74451">
            <wp:extent cx="4738916" cy="2243470"/>
            <wp:effectExtent l="0" t="0" r="0" b="4445"/>
            <wp:docPr id="2068682590" name="Picture 1" descr="Definition of implementation approach and implementation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82590" name="Picture 1" descr="Definition of implementation approach and implementation practice. "/>
                    <pic:cNvPicPr/>
                  </pic:nvPicPr>
                  <pic:blipFill rotWithShape="1">
                    <a:blip r:embed="rId11" cstate="print">
                      <a:extLst>
                        <a:ext uri="{28A0092B-C50C-407E-A947-70E740481C1C}">
                          <a14:useLocalDpi xmlns:a14="http://schemas.microsoft.com/office/drawing/2010/main" val="0"/>
                        </a:ext>
                      </a:extLst>
                    </a:blip>
                    <a:srcRect l="9989" t="14445" r="13695" b="17577"/>
                    <a:stretch/>
                  </pic:blipFill>
                  <pic:spPr bwMode="auto">
                    <a:xfrm>
                      <a:off x="0" y="0"/>
                      <a:ext cx="4764178" cy="2255429"/>
                    </a:xfrm>
                    <a:prstGeom prst="rect">
                      <a:avLst/>
                    </a:prstGeom>
                    <a:ln>
                      <a:noFill/>
                    </a:ln>
                    <a:extLst>
                      <a:ext uri="{53640926-AAD7-44D8-BBD7-CCE9431645EC}">
                        <a14:shadowObscured xmlns:a14="http://schemas.microsoft.com/office/drawing/2010/main"/>
                      </a:ext>
                    </a:extLst>
                  </pic:spPr>
                </pic:pic>
              </a:graphicData>
            </a:graphic>
          </wp:inline>
        </w:drawing>
      </w:r>
    </w:p>
    <w:p w14:paraId="6C612FD9" w14:textId="7D29823E" w:rsidR="008F52B4" w:rsidRDefault="008F52B4" w:rsidP="008F52B4">
      <w:pPr>
        <w:rPr>
          <w:rFonts w:eastAsia="Libre Baskerville"/>
        </w:rPr>
      </w:pPr>
    </w:p>
    <w:p w14:paraId="194446FD" w14:textId="3B01F08E" w:rsidR="00974A8E" w:rsidRDefault="00974A8E" w:rsidP="00974A8E">
      <w:r w:rsidRPr="7E52F19B">
        <w:t xml:space="preserve">In implementation practice, the focus of much of this compendium, the goal is not discovering whether things </w:t>
      </w:r>
      <w:r w:rsidRPr="7E52F19B">
        <w:rPr>
          <w:i/>
          <w:iCs/>
        </w:rPr>
        <w:t>could</w:t>
      </w:r>
      <w:r w:rsidRPr="7E52F19B">
        <w:t xml:space="preserve"> </w:t>
      </w:r>
      <w:r w:rsidRPr="7E52F19B">
        <w:rPr>
          <w:i/>
          <w:iCs/>
        </w:rPr>
        <w:t>work</w:t>
      </w:r>
      <w:r w:rsidRPr="7E52F19B">
        <w:t xml:space="preserve">, </w:t>
      </w:r>
      <w:r>
        <w:t xml:space="preserve">but </w:t>
      </w:r>
      <w:r w:rsidRPr="7E52F19B">
        <w:t xml:space="preserve">rather engineering strategies and approaches that enable things </w:t>
      </w:r>
      <w:r w:rsidRPr="7E52F19B">
        <w:rPr>
          <w:i/>
          <w:iCs/>
        </w:rPr>
        <w:t>to work</w:t>
      </w:r>
      <w:r w:rsidRPr="7E52F19B">
        <w:t xml:space="preserve"> within specific contexts and for involved partners </w:t>
      </w:r>
      <w:r w:rsidRPr="7E52F19B">
        <w:fldChar w:fldCharType="begin"/>
      </w:r>
      <w:r w:rsidRPr="7E52F19B">
        <w:instrText xml:space="preserve"> ADDIN EN.CITE &lt;EndNote&gt;&lt;Cite&gt;&lt;Author&gt;National Academies of Sciences&lt;/Author&gt;&lt;Year&gt;2019&lt;/Year&gt;&lt;RecNum&gt;5749&lt;/RecNum&gt;&lt;DisplayText&gt;[4]&lt;/DisplayText&gt;&lt;record&gt;&lt;rec-number&gt;5749&lt;/rec-number&gt;&lt;foreign-keys&gt;&lt;key app="EN" db-id="92tw0sxaredrdoeva2ovde9md0ept0ezp55z" timestamp="1601493759"&gt;5749&lt;/key&gt;&lt;/foreign-keys&gt;&lt;ref-type name="Book"&gt;6&lt;/ref-type&gt;&lt;contributors&gt;&lt;authors&gt;&lt;author&gt;National Academies of Sciences, Engineering, and Medicine&lt;/author&gt;&lt;/authors&gt;&lt;/contributors&gt;&lt;titles&gt;&lt;title&gt;Fostering Healthy Mental, Emotional, and Behavioral Development in Children and Youth: A National Agenda&lt;/title&gt;&lt;/titles&gt;&lt;dates&gt;&lt;year&gt;2019&lt;/year&gt;&lt;/dates&gt;&lt;pub-location&gt;Washington, DC&lt;/pub-location&gt;&lt;publisher&gt;The National Academies Press&lt;/publisher&gt;&lt;urls&gt;&lt;/urls&gt;&lt;electronic-resource-num&gt; doi: https://doi.org/10.17226/25201&lt;/electronic-resource-num&gt;&lt;/record&gt;&lt;/Cite&gt;&lt;/EndNote&gt;</w:instrText>
      </w:r>
      <w:r w:rsidRPr="7E52F19B">
        <w:fldChar w:fldCharType="separate"/>
      </w:r>
      <w:r w:rsidRPr="7E52F19B">
        <w:rPr>
          <w:noProof/>
        </w:rPr>
        <w:t>[</w:t>
      </w:r>
      <w:r>
        <w:rPr>
          <w:noProof/>
        </w:rPr>
        <w:t>6</w:t>
      </w:r>
      <w:r w:rsidRPr="7E52F19B">
        <w:rPr>
          <w:noProof/>
        </w:rPr>
        <w:t>]</w:t>
      </w:r>
      <w:r w:rsidRPr="7E52F19B">
        <w:fldChar w:fldCharType="end"/>
      </w:r>
      <w:r>
        <w:t xml:space="preserve">. The focus is on figuring out </w:t>
      </w:r>
      <w:r w:rsidRPr="00031978">
        <w:rPr>
          <w:i/>
          <w:iCs/>
        </w:rPr>
        <w:t>how</w:t>
      </w:r>
      <w:r>
        <w:t xml:space="preserve">, rather than examining </w:t>
      </w:r>
      <w:r w:rsidRPr="00031978">
        <w:rPr>
          <w:i/>
          <w:iCs/>
        </w:rPr>
        <w:t>whether</w:t>
      </w:r>
      <w:r>
        <w:rPr>
          <w:i/>
          <w:iCs/>
        </w:rPr>
        <w:t>,</w:t>
      </w:r>
      <w:r>
        <w:t xml:space="preserve"> success can be achieved. </w:t>
      </w:r>
      <w:r w:rsidRPr="7E52F19B">
        <w:t xml:space="preserve">To </w:t>
      </w:r>
      <w:r>
        <w:t>these</w:t>
      </w:r>
      <w:r w:rsidRPr="7E52F19B">
        <w:t xml:space="preserve"> end</w:t>
      </w:r>
      <w:r>
        <w:t>s</w:t>
      </w:r>
      <w:r w:rsidRPr="7E52F19B">
        <w:t xml:space="preserve">, the ICTP projects align with the view that implementation practice is a </w:t>
      </w:r>
      <w:r w:rsidRPr="00A8304A">
        <w:t>process</w:t>
      </w:r>
      <w:r w:rsidRPr="7E52F19B">
        <w:t xml:space="preserve"> that “involves multiple decisions, actions, and corrections to change the structures and conditions necessary to implement and sustain new practices and programs successfully” </w:t>
      </w:r>
      <w:r w:rsidRPr="7E52F19B">
        <w:fldChar w:fldCharType="begin"/>
      </w:r>
      <w:r w:rsidRPr="7E52F19B">
        <w:instrText xml:space="preserve"> ADDIN EN.CITE &lt;EndNote&gt;&lt;Cite&gt;&lt;Author&gt;Center&lt;/Author&gt;&lt;Year&gt;n.d.&lt;/Year&gt;&lt;RecNum&gt;11585&lt;/RecNum&gt;&lt;DisplayText&gt;[10]&lt;/DisplayText&gt;&lt;record&gt;&lt;rec-number&gt;11585&lt;/rec-number&gt;&lt;foreign-keys&gt;&lt;key app="EN" db-id="92tw0sxaredrdoeva2ovde9md0ept0ezp55z" timestamp="1657571328"&gt;11585&lt;/key&gt;&lt;/foreign-keys&gt;&lt;ref-type name="Web Page"&gt;12&lt;/ref-type&gt;&lt;contributors&gt;&lt;authors&gt;&lt;author&gt;State Implementation and Scaling-up of Evidence-based Practices Center&lt;/author&gt;&lt;/authors&gt;&lt;/contributors&gt;&lt;titles&gt;&lt;title&gt;Module 1: An Overview of Active Implementation Frameworks&lt;/title&gt;&lt;/titles&gt;&lt;dates&gt;&lt;year&gt;n.d.&lt;/year&gt;&lt;/dates&gt;&lt;urls&gt;&lt;related-urls&gt;&lt;url&gt;https://nirn.fpg.unc.edu/module-1&lt;/url&gt;&lt;/related-urls&gt;&lt;/urls&gt;&lt;/record&gt;&lt;/Cite&gt;&lt;/EndNote&gt;</w:instrText>
      </w:r>
      <w:r w:rsidRPr="7E52F19B">
        <w:fldChar w:fldCharType="separate"/>
      </w:r>
      <w:r w:rsidRPr="7E52F19B">
        <w:rPr>
          <w:noProof/>
        </w:rPr>
        <w:t>[</w:t>
      </w:r>
      <w:r>
        <w:rPr>
          <w:noProof/>
        </w:rPr>
        <w:t>7</w:t>
      </w:r>
      <w:r w:rsidRPr="7E52F19B">
        <w:rPr>
          <w:noProof/>
        </w:rPr>
        <w:t>]</w:t>
      </w:r>
      <w:r w:rsidRPr="7E52F19B">
        <w:fldChar w:fldCharType="end"/>
      </w:r>
      <w:r w:rsidRPr="7E52F19B">
        <w:t xml:space="preserve">. </w:t>
      </w:r>
    </w:p>
    <w:p w14:paraId="6B641606" w14:textId="77777777" w:rsidR="00974A8E" w:rsidRDefault="00974A8E" w:rsidP="00974A8E"/>
    <w:p w14:paraId="79ADD445" w14:textId="77777777" w:rsidR="00974A8E" w:rsidRDefault="00974A8E" w:rsidP="00974A8E">
      <w:r>
        <w:t xml:space="preserve">Among the partners engaged in implementation practice are </w:t>
      </w:r>
      <w:r w:rsidRPr="00AE1496">
        <w:rPr>
          <w:i/>
          <w:iCs/>
        </w:rPr>
        <w:t>implementation support practitioners</w:t>
      </w:r>
      <w:r>
        <w:rPr>
          <w:i/>
          <w:iCs/>
        </w:rPr>
        <w:t xml:space="preserve"> </w:t>
      </w:r>
      <w:r>
        <w:t xml:space="preserve">(ISPs) </w:t>
      </w:r>
      <w:r w:rsidRPr="00AE1496">
        <w:fldChar w:fldCharType="begin"/>
      </w:r>
      <w:r>
        <w:instrText xml:space="preserve"> ADDIN EN.CITE &lt;EndNote&gt;&lt;Cite&gt;&lt;Author&gt;Albers&lt;/Author&gt;&lt;Year&gt;2020&lt;/Year&gt;&lt;RecNum&gt;4339&lt;/RecNum&gt;&lt;DisplayText&gt;[11]&lt;/DisplayText&gt;&lt;record&gt;&lt;rec-number&gt;4339&lt;/rec-number&gt;&lt;foreign-keys&gt;&lt;key app="EN" db-id="92tw0sxaredrdoeva2ovde9md0ept0ezp55z" timestamp="1591023273"&gt;4339&lt;/key&gt;&lt;/foreign-keys&gt;&lt;ref-type name="Journal Article"&gt;17&lt;/ref-type&gt;&lt;contributors&gt;&lt;authors&gt;&lt;author&gt;Albers, B.&lt;/author&gt;&lt;author&gt;Metz, A.&lt;/author&gt;&lt;author&gt;Burke, K.&lt;/author&gt;&lt;/authors&gt;&lt;/contributors&gt;&lt;auth-address&gt;European Implementation Collaborative, Soborg, Denmark. balbers@implementation.eu.&amp;#xD;University of Melbourne, Melbourne, Australia. balbers@implementation.eu.&amp;#xD;University of North Carolina at Chapel Hill, Chapel Hill, USA.&amp;#xD;Centre for Effective Services, Dublin, Ireland.&lt;/auth-address&gt;&lt;titles&gt;&lt;title&gt;Implementation support practitioners - a proposal for consolidating a diverse evidence base&lt;/title&gt;&lt;secondary-title&gt;BMC Health Serv Res&lt;/secondary-title&gt;&lt;/titles&gt;&lt;periodical&gt;&lt;full-title&gt;BMC Health Serv Res&lt;/full-title&gt;&lt;abbr-1&gt;BMC Health Serv Res&lt;/abbr-1&gt;&lt;/periodical&gt;&lt;pages&gt;368&lt;/pages&gt;&lt;volume&gt;20&lt;/volume&gt;&lt;number&gt;1&lt;/number&gt;&lt;edition&gt;2020/05/03&lt;/edition&gt;&lt;keywords&gt;&lt;keyword&gt;Implementation support&lt;/keyword&gt;&lt;keyword&gt;Implementation support practitioner&lt;/keyword&gt;&lt;keyword&gt;Program logic&lt;/keyword&gt;&lt;/keywords&gt;&lt;dates&gt;&lt;year&gt;2020&lt;/year&gt;&lt;pub-dates&gt;&lt;date&gt;May 1&lt;/date&gt;&lt;/pub-dates&gt;&lt;/dates&gt;&lt;isbn&gt;1472-6963 (Electronic)&amp;#xD;1472-6963 (Linking)&lt;/isbn&gt;&lt;accession-num&gt;32357877&lt;/accession-num&gt;&lt;urls&gt;&lt;related-urls&gt;&lt;url&gt;https://www.ncbi.nlm.nih.gov/pubmed/32357877&lt;/url&gt;&lt;/related-urls&gt;&lt;/urls&gt;&lt;custom2&gt;PMC7193379&lt;/custom2&gt;&lt;electronic-resource-num&gt;10.1186/s12913-020-05145-1&lt;/electronic-resource-num&gt;&lt;/record&gt;&lt;/Cite&gt;&lt;/EndNote&gt;</w:instrText>
      </w:r>
      <w:r w:rsidRPr="00AE1496">
        <w:fldChar w:fldCharType="separate"/>
      </w:r>
      <w:r>
        <w:rPr>
          <w:noProof/>
        </w:rPr>
        <w:t>[8]</w:t>
      </w:r>
      <w:r w:rsidRPr="00AE1496">
        <w:fldChar w:fldCharType="end"/>
      </w:r>
      <w:r w:rsidRPr="00AE1496">
        <w:t>.</w:t>
      </w:r>
      <w:r>
        <w:t xml:space="preserve"> ISPs draw from widely recognized disciplines—such as technical assistance, practice facilitation, system coaching, change agency, and knowledge brokerage—that aim to move research into practice and policy. Metz and colleagues </w:t>
      </w:r>
      <w:r>
        <w:fldChar w:fldCharType="begin"/>
      </w:r>
      <w:r>
        <w:instrText xml:space="preserve"> ADDIN EN.CITE &lt;EndNote&gt;&lt;Cite&gt;&lt;Author&gt;Metz&lt;/Author&gt;&lt;Year&gt;2021&lt;/Year&gt;&lt;RecNum&gt;5767&lt;/RecNum&gt;&lt;DisplayText&gt;[12]&lt;/DisplayText&gt;&lt;record&gt;&lt;rec-number&gt;5767&lt;/rec-number&gt;&lt;foreign-keys&gt;&lt;key app="EN" db-id="92tw0sxaredrdoeva2ovde9md0ept0ezp55z" timestamp="1634594278"&gt;5767&lt;/key&gt;&lt;/foreign-keys&gt;&lt;ref-type name="Journal Article"&gt;17&lt;/ref-type&gt;&lt;contributors&gt;&lt;authors&gt;&lt;author&gt;Metz, Allison&lt;/author&gt;&lt;author&gt;Albers, Bianca&lt;/author&gt;&lt;author&gt;Burke, Katie&lt;/author&gt;&lt;author&gt;Bartley, Leah&lt;/author&gt;&lt;author&gt;Louison, Laura&lt;/author&gt;&lt;author&gt;Ward, Caryn&lt;/author&gt;&lt;author&gt;Farley, Amanda&lt;/author&gt;&lt;/authors&gt;&lt;/contributors&gt;&lt;titles&gt;&lt;title&gt;Implementation Practice in Human Service Systems: Understanding the Principles and Competencies of Professionals Who Support Implementation&lt;/title&gt;&lt;secondary-title&gt;Human Service Organizations: Management, Leadership &amp;amp; Governance&lt;/secondary-title&gt;&lt;/titles&gt;&lt;periodical&gt;&lt;full-title&gt;Human Service Organizations: Management, Leadership &amp;amp; Governance&lt;/full-title&gt;&lt;/periodical&gt;&lt;pages&gt;238-259&lt;/pages&gt;&lt;volume&gt;45&lt;/volume&gt;&lt;number&gt;3&lt;/number&gt;&lt;dates&gt;&lt;year&gt;2021&lt;/year&gt;&lt;pub-dates&gt;&lt;date&gt;2021/05/27&lt;/date&gt;&lt;/pub-dates&gt;&lt;/dates&gt;&lt;publisher&gt;Routledge&lt;/publisher&gt;&lt;isbn&gt;2330-3131&lt;/isbn&gt;&lt;urls&gt;&lt;related-urls&gt;&lt;url&gt;https://doi.org/10.1080/23303131.2021.1895401&lt;/url&gt;&lt;/related-urls&gt;&lt;/urls&gt;&lt;electronic-resource-num&gt;10.1080/23303131.2021.1895401&lt;/electronic-resource-num&gt;&lt;/record&gt;&lt;/Cite&gt;&lt;/EndNote&gt;</w:instrText>
      </w:r>
      <w:r>
        <w:fldChar w:fldCharType="separate"/>
      </w:r>
      <w:r>
        <w:rPr>
          <w:noProof/>
        </w:rPr>
        <w:t>[9]</w:t>
      </w:r>
      <w:r>
        <w:fldChar w:fldCharType="end"/>
      </w:r>
      <w:r>
        <w:t xml:space="preserve"> explain that ISPs </w:t>
      </w:r>
    </w:p>
    <w:p w14:paraId="1CB55115" w14:textId="77777777" w:rsidR="00974A8E" w:rsidRPr="001C692F" w:rsidRDefault="00974A8E" w:rsidP="001C692F">
      <w:pPr>
        <w:rPr>
          <w:rStyle w:val="QuoteChar"/>
          <w:rFonts w:ascii="Open Sans Semibold" w:hAnsi="Open Sans Semibold" w:cs="Open Sans Semibold"/>
          <w:b/>
          <w:bCs/>
        </w:rPr>
      </w:pPr>
      <w:r>
        <w:rPr>
          <w:rFonts w:ascii="Libre Baskerville" w:hAnsi="Libre Baskerville" w:cs="Merriweather"/>
        </w:rPr>
        <w:t xml:space="preserve">. . </w:t>
      </w:r>
      <w:r w:rsidRPr="001C692F">
        <w:rPr>
          <w:rStyle w:val="QuoteChar"/>
          <w:rFonts w:ascii="Open Sans Semibold" w:hAnsi="Open Sans Semibold" w:cs="Open Sans Semibold"/>
          <w:b/>
          <w:bCs/>
        </w:rPr>
        <w:t xml:space="preserve">. can reside outside the service systems they work in but may also operate from within a service system when those systems have internal work units specifically designed to support innovation, implementation, improvement, </w:t>
      </w:r>
      <w:r w:rsidRPr="001C692F">
        <w:rPr>
          <w:rStyle w:val="QuoteChar"/>
          <w:rFonts w:ascii="Open Sans Semibold" w:hAnsi="Open Sans Semibold" w:cs="Open Sans Semibold"/>
          <w:b/>
          <w:bCs/>
        </w:rPr>
        <w:lastRenderedPageBreak/>
        <w:t>and/or scaling efforts [e.g., implementation teams]. Implementation support is often delivered through partnerships between professionals residing inside and outside public service systems. (p.239–240)</w:t>
      </w:r>
    </w:p>
    <w:p w14:paraId="72F44966" w14:textId="77777777" w:rsidR="00974A8E" w:rsidRDefault="00974A8E" w:rsidP="00974A8E">
      <w:pPr>
        <w:rPr>
          <w:rFonts w:ascii="Libre Baskerville" w:hAnsi="Libre Baskerville" w:cs="Merriweather"/>
        </w:rPr>
      </w:pPr>
    </w:p>
    <w:p w14:paraId="20B0C5CB" w14:textId="77777777" w:rsidR="00974A8E" w:rsidRDefault="00974A8E" w:rsidP="00974A8E">
      <w:r>
        <w:t xml:space="preserve">The ICTP implementation support practice model, described below, was designed by Aldridge and colleagues </w:t>
      </w:r>
      <w:r>
        <w:fldChar w:fldCharType="begin"/>
      </w:r>
      <w:r>
        <w:instrText xml:space="preserve"> ADDIN EN.CITE &lt;EndNote&gt;&lt;Cite&gt;&lt;Author&gt;Aldridge&lt;/Author&gt;&lt;Year&gt;2022&lt;/Year&gt;&lt;RecNum&gt;3735&lt;/RecNum&gt;&lt;DisplayText&gt;[13]&lt;/DisplayText&gt;&lt;record&gt;&lt;rec-number&gt;3735&lt;/rec-number&gt;&lt;foreign-keys&gt;&lt;key app="EN" db-id="92tw0sxaredrdoeva2ovde9md0ept0ezp55z" timestamp="0"&gt;3735&lt;/key&gt;&lt;/foreign-keys&gt;&lt;ref-type name="Journal Article"&gt;17&lt;/ref-type&gt;&lt;contributors&gt;&lt;authors&gt;&lt;author&gt;Aldridge, W. A., II&lt;/author&gt;&lt;author&gt;Roppolo, R. H.&lt;/author&gt;&lt;author&gt;Brown, J.&lt;/author&gt;&lt;author&gt;Bumbarger, B. K.&lt;/author&gt;&lt;author&gt;Boothroyd, R. I.&lt;/author&gt;&lt;/authors&gt;&lt;/contributors&gt;&lt;titles&gt;&lt;title&gt;Core Practice Components and Outcomes of External Implementation Support: A Conceptual Model and Case Examples to Guide Research and Practice [Manuscript submitted for publication]&lt;/title&gt;&lt;/titles&gt;&lt;dates&gt;&lt;year&gt;2022&lt;/year&gt;&lt;/dates&gt;&lt;urls&gt;&lt;/urls&gt;&lt;/record&gt;&lt;/Cite&gt;&lt;/EndNote&gt;</w:instrText>
      </w:r>
      <w:r>
        <w:fldChar w:fldCharType="separate"/>
      </w:r>
      <w:r>
        <w:rPr>
          <w:noProof/>
        </w:rPr>
        <w:t>[10]</w:t>
      </w:r>
      <w:r>
        <w:fldChar w:fldCharType="end"/>
      </w:r>
      <w:r>
        <w:t xml:space="preserve"> for ISPs who reside </w:t>
      </w:r>
      <w:r w:rsidRPr="00A8304A">
        <w:t>outside</w:t>
      </w:r>
      <w:r>
        <w:t xml:space="preserve"> the service systems in which they work. Thus, this approach is referred to as </w:t>
      </w:r>
      <w:r w:rsidRPr="00123A7E">
        <w:rPr>
          <w:i/>
          <w:iCs/>
        </w:rPr>
        <w:t>e</w:t>
      </w:r>
      <w:r w:rsidRPr="00337907">
        <w:rPr>
          <w:i/>
          <w:iCs/>
        </w:rPr>
        <w:t>xternal implementation support</w:t>
      </w:r>
      <w:r>
        <w:t xml:space="preserve"> (EIS). EIS is aimed at influencing internal practice change and improvement among people, processes, and structures. As a form of implementation practice, EIS has been characterized as “</w:t>
      </w:r>
      <w:r w:rsidRPr="00337907">
        <w:t>both proactive and responsive in nature and usually involves a combination of implementation science and skills training, facilitation, and supportive behavioral coaching for individuals, groups, and organizations</w:t>
      </w:r>
      <w:r>
        <w:t xml:space="preserve">” </w:t>
      </w:r>
      <w:r>
        <w:fldChar w:fldCharType="begin"/>
      </w:r>
      <w:r>
        <w:instrText xml:space="preserve"> ADDIN EN.CITE &lt;EndNote&gt;&lt;Cite&gt;&lt;Author&gt;National Academies of Sciences&lt;/Author&gt;&lt;Year&gt;2019&lt;/Year&gt;&lt;RecNum&gt;5749&lt;/RecNum&gt;&lt;DisplayText&gt;[4]&lt;/DisplayText&gt;&lt;record&gt;&lt;rec-number&gt;5749&lt;/rec-number&gt;&lt;foreign-keys&gt;&lt;key app="EN" db-id="92tw0sxaredrdoeva2ovde9md0ept0ezp55z" timestamp="1601493759"&gt;5749&lt;/key&gt;&lt;/foreign-keys&gt;&lt;ref-type name="Book"&gt;6&lt;/ref-type&gt;&lt;contributors&gt;&lt;authors&gt;&lt;author&gt;National Academies of Sciences, Engineering, and Medicine&lt;/author&gt;&lt;/authors&gt;&lt;/contributors&gt;&lt;titles&gt;&lt;title&gt;Fostering Healthy Mental, Emotional, and Behavioral Development in Children and Youth: A National Agenda&lt;/title&gt;&lt;/titles&gt;&lt;dates&gt;&lt;year&gt;2019&lt;/year&gt;&lt;/dates&gt;&lt;pub-location&gt;Washington, DC&lt;/pub-location&gt;&lt;publisher&gt;The National Academies Press&lt;/publisher&gt;&lt;urls&gt;&lt;/urls&gt;&lt;electronic-resource-num&gt; doi: https://doi.org/10.17226/25201&lt;/electronic-resource-num&gt;&lt;/record&gt;&lt;/Cite&gt;&lt;/EndNote&gt;</w:instrText>
      </w:r>
      <w:r>
        <w:fldChar w:fldCharType="separate"/>
      </w:r>
      <w:r>
        <w:rPr>
          <w:noProof/>
        </w:rPr>
        <w:t>[6</w:t>
      </w:r>
      <w:r>
        <w:fldChar w:fldCharType="end"/>
      </w:r>
      <w:r>
        <w:t>, p. 192]. Through EIS, ISPs foster the partnerships and conditions needed for internal change agents to implement and scale-up effective interventions</w:t>
      </w:r>
      <w:r w:rsidRPr="006479A2">
        <w:t xml:space="preserve"> </w:t>
      </w:r>
      <w:r>
        <w:t>successfully and equitably.</w:t>
      </w:r>
    </w:p>
    <w:p w14:paraId="38A0BA43" w14:textId="77777777" w:rsidR="00974A8E" w:rsidRPr="008203A8" w:rsidRDefault="00974A8E" w:rsidP="00974A8E">
      <w:pPr>
        <w:pStyle w:val="Heading2"/>
        <w:spacing w:before="240"/>
        <w:rPr>
          <w:rFonts w:cstheme="majorHAnsi"/>
        </w:rPr>
      </w:pPr>
      <w:bookmarkStart w:id="0" w:name="_Toc111053418"/>
      <w:r w:rsidRPr="008203A8">
        <w:rPr>
          <w:rFonts w:cstheme="majorHAnsi"/>
        </w:rPr>
        <w:t xml:space="preserve">Historical Development </w:t>
      </w:r>
      <w:r>
        <w:rPr>
          <w:rFonts w:cstheme="majorHAnsi"/>
        </w:rPr>
        <w:t>&amp;</w:t>
      </w:r>
      <w:r w:rsidRPr="008203A8">
        <w:rPr>
          <w:rFonts w:cstheme="majorHAnsi"/>
        </w:rPr>
        <w:t xml:space="preserve"> Current Status of the ICTP Practice Model</w:t>
      </w:r>
      <w:bookmarkEnd w:id="0"/>
    </w:p>
    <w:p w14:paraId="09167B0E" w14:textId="77777777" w:rsidR="00974A8E" w:rsidRDefault="00974A8E" w:rsidP="00974A8E">
      <w:r w:rsidRPr="6C25CB59">
        <w:t xml:space="preserve">In 2016, Aldridge and colleagues </w:t>
      </w:r>
      <w:r w:rsidRPr="6C25CB59">
        <w:fldChar w:fldCharType="begin"/>
      </w:r>
      <w:r w:rsidRPr="6C25CB59">
        <w:instrText xml:space="preserve"> ADDIN EN.CITE &lt;EndNote&gt;&lt;Cite&gt;&lt;Author&gt;Aldridge&lt;/Author&gt;&lt;Year&gt;2016, September&lt;/Year&gt;&lt;RecNum&gt;11586&lt;/RecNum&gt;&lt;DisplayText&gt;[24]&lt;/DisplayText&gt;&lt;record&gt;&lt;rec-number&gt;11586&lt;/rec-number&gt;&lt;foreign-keys&gt;&lt;key app="EN" db-id="92tw0sxaredrdoeva2ovde9md0ept0ezp55z" timestamp="1657573507"&gt;11586&lt;/key&gt;&lt;/foreign-keys&gt;&lt;ref-type name="Unpublished Work"&gt;34&lt;/ref-type&gt;&lt;contributors&gt;&lt;authors&gt;&lt;author&gt;Aldridge, W. A., II&lt;/author&gt;&lt;author&gt;Brown, J.&lt;/author&gt;&lt;author&gt;Bumbarger, B. K.&lt;/author&gt;&lt;/authors&gt;&lt;/contributors&gt;&lt;titles&gt;&lt;title&gt;The Role of External Implementation Agents in Contributing to Nurturing Systems Environments for Scaling Effective Prevention Strategies&lt;/title&gt;&lt;/titles&gt;&lt;dates&gt;&lt;year&gt;2016, September&lt;/year&gt;&lt;/dates&gt;&lt;publisher&gt; Frank Porter Graham Child Development Institute, University of North Carolina at Chapel Hill. &lt;/publisher&gt;&lt;work-type&gt;Unpublished Manuscript&lt;/work-type&gt;&lt;urls&gt;&lt;/urls&gt;&lt;/record&gt;&lt;/Cite&gt;&lt;/EndNote&gt;</w:instrText>
      </w:r>
      <w:r w:rsidRPr="6C25CB59">
        <w:fldChar w:fldCharType="separate"/>
      </w:r>
      <w:r w:rsidRPr="6C25CB59">
        <w:rPr>
          <w:noProof/>
        </w:rPr>
        <w:t>[</w:t>
      </w:r>
      <w:r>
        <w:rPr>
          <w:noProof/>
        </w:rPr>
        <w:t>11</w:t>
      </w:r>
      <w:r w:rsidRPr="6C25CB59">
        <w:rPr>
          <w:noProof/>
        </w:rPr>
        <w:t>]</w:t>
      </w:r>
      <w:r w:rsidRPr="6C25CB59">
        <w:fldChar w:fldCharType="end"/>
      </w:r>
      <w:r>
        <w:t xml:space="preserve"> </w:t>
      </w:r>
      <w:r w:rsidRPr="6C25CB59">
        <w:t xml:space="preserve">identified seven </w:t>
      </w:r>
      <w:r>
        <w:t xml:space="preserve">implementation support practice </w:t>
      </w:r>
      <w:r w:rsidRPr="6C25CB59">
        <w:t xml:space="preserve">principles and </w:t>
      </w:r>
      <w:r>
        <w:t>10</w:t>
      </w:r>
      <w:r w:rsidRPr="6C25CB59">
        <w:t xml:space="preserve"> core practice components for EIS</w:t>
      </w:r>
      <w:r>
        <w:t xml:space="preserve">. </w:t>
      </w:r>
      <w:r w:rsidRPr="00D7789D">
        <w:t>Members of the ICTP project</w:t>
      </w:r>
      <w:r>
        <w:t>s</w:t>
      </w:r>
      <w:r w:rsidRPr="00D7789D">
        <w:t xml:space="preserve"> team within </w:t>
      </w:r>
      <w:r>
        <w:t>T</w:t>
      </w:r>
      <w:r w:rsidRPr="00D7789D">
        <w:t>he Impact Center at FPG</w:t>
      </w:r>
      <w:r>
        <w:t xml:space="preserve"> then </w:t>
      </w:r>
      <w:r w:rsidRPr="6C25CB59">
        <w:t xml:space="preserve">translated </w:t>
      </w:r>
      <w:r>
        <w:t xml:space="preserve">these principles and components </w:t>
      </w:r>
      <w:r w:rsidRPr="6C25CB59">
        <w:t xml:space="preserve">into a tailored model of implementation support for </w:t>
      </w:r>
      <w:r>
        <w:t xml:space="preserve">the North Carolina ICTP project </w:t>
      </w:r>
      <w:r w:rsidRPr="6C25CB59">
        <w:fldChar w:fldCharType="begin"/>
      </w:r>
      <w:r w:rsidRPr="6C25CB59">
        <w:instrText xml:space="preserve"> ADDIN EN.CITE &lt;EndNote&gt;&lt;Cite&gt;&lt;Author&gt;Aldridge&lt;/Author&gt;&lt;Year&gt;2016, December&lt;/Year&gt;&lt;RecNum&gt;3753&lt;/RecNum&gt;&lt;DisplayText&gt;[1]&lt;/DisplayText&gt;&lt;record&gt;&lt;rec-number&gt;3753&lt;/rec-number&gt;&lt;foreign-keys&gt;&lt;key app="EN" db-id="92tw0sxaredrdoeva2ovde9md0ept0ezp55z" timestamp="0"&gt;3753&lt;/key&gt;&lt;/foreign-keys&gt;&lt;ref-type name="Report"&gt;27&lt;/ref-type&gt;&lt;contributors&gt;&lt;authors&gt;&lt;author&gt;Aldridge, W. A., II&lt;/author&gt;&lt;author&gt;Boothroyd, R. I.&lt;/author&gt;&lt;author&gt;Veazey, C. A.&lt;/author&gt;&lt;author&gt;Powell, B. J.&lt;/author&gt;&lt;author&gt;Murray, D. W.&lt;/author&gt;&lt;author&gt;Prinz, R. J.&lt;/author&gt;&lt;/authors&gt;&lt;/contributors&gt;&lt;titles&gt;&lt;title&gt;Ensuring Active Implementation Support for North Carolina Counties Scaling the Triple P System of Interventions&lt;/title&gt;&lt;/titles&gt;&lt;dates&gt;&lt;year&gt;2016, December&lt;/year&gt;&lt;/dates&gt;&lt;pub-location&gt;Chapel Hill, NC&lt;/pub-location&gt;&lt;publisher&gt;Frank Porter Graham Child Development Institute, University of North Carolina at Chapel Hill&lt;/publisher&gt;&lt;urls&gt;&lt;/urls&gt;&lt;/record&gt;&lt;/Cite&gt;&lt;/EndNote&gt;</w:instrText>
      </w:r>
      <w:r w:rsidRPr="6C25CB59">
        <w:fldChar w:fldCharType="separate"/>
      </w:r>
      <w:r w:rsidRPr="6C25CB59">
        <w:rPr>
          <w:noProof/>
        </w:rPr>
        <w:t>[1</w:t>
      </w:r>
      <w:r>
        <w:rPr>
          <w:noProof/>
        </w:rPr>
        <w:t>2</w:t>
      </w:r>
      <w:r w:rsidRPr="6C25CB59">
        <w:rPr>
          <w:noProof/>
        </w:rPr>
        <w:t>]</w:t>
      </w:r>
      <w:r w:rsidRPr="6C25CB59">
        <w:fldChar w:fldCharType="end"/>
      </w:r>
      <w:r w:rsidRPr="6C25CB59">
        <w:t xml:space="preserve">. </w:t>
      </w:r>
      <w:r>
        <w:t>We updated t</w:t>
      </w:r>
      <w:r w:rsidRPr="6C25CB59">
        <w:t xml:space="preserve">his </w:t>
      </w:r>
      <w:r>
        <w:t xml:space="preserve">community-based </w:t>
      </w:r>
      <w:r w:rsidRPr="6C25CB59">
        <w:t xml:space="preserve">implementation support </w:t>
      </w:r>
      <w:r>
        <w:t>practice model (which we’ll refer to as simply the “practice model”)</w:t>
      </w:r>
      <w:r w:rsidRPr="6C25CB59">
        <w:t xml:space="preserve"> in 2018 </w:t>
      </w:r>
      <w:r w:rsidRPr="6C25CB59">
        <w:fldChar w:fldCharType="begin"/>
      </w:r>
      <w:r w:rsidRPr="6C25CB59">
        <w:instrText xml:space="preserve"> ADDIN EN.CITE &lt;EndNote&gt;&lt;Cite&gt;&lt;Author&gt;Aldridge&lt;/Author&gt;&lt;Year&gt;2018, May&lt;/Year&gt;&lt;RecNum&gt;11588&lt;/RecNum&gt;&lt;DisplayText&gt;[2]&lt;/DisplayText&gt;&lt;record&gt;&lt;rec-number&gt;11588&lt;/rec-number&gt;&lt;foreign-keys&gt;&lt;key app="EN" db-id="92tw0sxaredrdoeva2ovde9md0ept0ezp55z" timestamp="1657748549"&gt;11588&lt;/key&gt;&lt;/foreign-keys&gt;&lt;ref-type name="Unpublished Work"&gt;34&lt;/ref-type&gt;&lt;contributors&gt;&lt;authors&gt;&lt;author&gt;Aldridge, W. A., II&lt;/author&gt;&lt;author&gt;Boothroyd, R. I.&lt;/author&gt;&lt;author&gt;Veazey, C. A.&lt;/author&gt;&lt;author&gt;Powell, B. J.&lt;/author&gt;&lt;author&gt;Murray, D. W.&lt;/author&gt;&lt;author&gt;Prinz, R. J.&lt;/author&gt;&lt;/authors&gt;&lt;/contributors&gt;&lt;titles&gt;&lt;title&gt;Ensuring Active Implementation Support for Counties &amp;amp; Communities Scaling the Triple P System of Interventions&lt;/title&gt;&lt;/titles&gt;&lt;dates&gt;&lt;year&gt;2018, May&lt;/year&gt;&lt;/dates&gt;&lt;pub-location&gt;Chapel Hill, NC&lt;/pub-location&gt;&lt;publisher&gt;The Impact Center at Frank Porter Graham Child Development Institute, University of North Carolina at Chapel Hill.&lt;/publisher&gt;&lt;urls&gt;&lt;/urls&gt;&lt;/record&gt;&lt;/Cite&gt;&lt;/EndNote&gt;</w:instrText>
      </w:r>
      <w:r w:rsidRPr="6C25CB59">
        <w:fldChar w:fldCharType="separate"/>
      </w:r>
      <w:r w:rsidRPr="6C25CB59">
        <w:rPr>
          <w:noProof/>
        </w:rPr>
        <w:t>[</w:t>
      </w:r>
      <w:r>
        <w:rPr>
          <w:noProof/>
        </w:rPr>
        <w:t>13</w:t>
      </w:r>
      <w:r w:rsidRPr="6C25CB59">
        <w:rPr>
          <w:noProof/>
        </w:rPr>
        <w:t>]</w:t>
      </w:r>
      <w:r w:rsidRPr="6C25CB59">
        <w:fldChar w:fldCharType="end"/>
      </w:r>
      <w:r w:rsidRPr="6C25CB59">
        <w:t>.</w:t>
      </w:r>
    </w:p>
    <w:p w14:paraId="3E7B6BFA" w14:textId="77777777" w:rsidR="00974A8E" w:rsidRDefault="00974A8E" w:rsidP="00974A8E"/>
    <w:p w14:paraId="1FEA2FE3" w14:textId="77777777" w:rsidR="00974A8E" w:rsidRDefault="00974A8E" w:rsidP="00974A8E">
      <w:r>
        <w:t>In addition to the 2018 update, we</w:t>
      </w:r>
      <w:r w:rsidRPr="6C25CB59">
        <w:t xml:space="preserve"> </w:t>
      </w:r>
      <w:r>
        <w:t xml:space="preserve">made several other revisions and additions to the practice model between 2016 and 2020, largely in response to training and supporting ICTP regional support specialists in their application of the practice model in the field. At the most basic level, we adjusted the names and groupings of core practice components to increase understanding and utility. Similarly, we modified the names and definitions of implementation support practice principles and added an eighth principle (stage-based approach). More substantively, we added a theory of change detailing the influences of core practice components on key practice outcomes, greatly enhancing the model’s utility with regard to how ISPs </w:t>
      </w:r>
      <w:r>
        <w:lastRenderedPageBreak/>
        <w:t xml:space="preserve">might use individual and combinations of core practice components to influence specific practice outcomes </w:t>
      </w:r>
      <w:r>
        <w:fldChar w:fldCharType="begin"/>
      </w:r>
      <w:r>
        <w:instrText xml:space="preserve"> ADDIN EN.CITE &lt;EndNote&gt;&lt;Cite&gt;&lt;Author&gt;Aldridge&lt;/Author&gt;&lt;Year&gt;2022&lt;/Year&gt;&lt;RecNum&gt;3735&lt;/RecNum&gt;&lt;DisplayText&gt;[13]&lt;/DisplayText&gt;&lt;record&gt;&lt;rec-number&gt;3735&lt;/rec-number&gt;&lt;foreign-keys&gt;&lt;key app="EN" db-id="92tw0sxaredrdoeva2ovde9md0ept0ezp55z" timestamp="0"&gt;3735&lt;/key&gt;&lt;/foreign-keys&gt;&lt;ref-type name="Journal Article"&gt;17&lt;/ref-type&gt;&lt;contributors&gt;&lt;authors&gt;&lt;author&gt;Aldridge, W. A., II&lt;/author&gt;&lt;author&gt;Roppolo, R. H.&lt;/author&gt;&lt;author&gt;Brown, J.&lt;/author&gt;&lt;author&gt;Bumbarger, B. K.&lt;/author&gt;&lt;author&gt;Boothroyd, R. I.&lt;/author&gt;&lt;/authors&gt;&lt;/contributors&gt;&lt;titles&gt;&lt;title&gt;Core Practice Components and Outcomes of External Implementation Support: A Conceptual Model and Case Examples to Guide Research and Practice [Manuscript submitted for publication]&lt;/title&gt;&lt;/titles&gt;&lt;dates&gt;&lt;year&gt;2022&lt;/year&gt;&lt;/dates&gt;&lt;urls&gt;&lt;/urls&gt;&lt;/record&gt;&lt;/Cite&gt;&lt;/EndNote&gt;</w:instrText>
      </w:r>
      <w:r>
        <w:fldChar w:fldCharType="separate"/>
      </w:r>
      <w:r>
        <w:rPr>
          <w:noProof/>
        </w:rPr>
        <w:t>[10]</w:t>
      </w:r>
      <w:r>
        <w:fldChar w:fldCharType="end"/>
      </w:r>
      <w:r>
        <w:t xml:space="preserve">. </w:t>
      </w:r>
    </w:p>
    <w:p w14:paraId="763BD7AD" w14:textId="77777777" w:rsidR="00974A8E" w:rsidRDefault="00974A8E" w:rsidP="00974A8E"/>
    <w:p w14:paraId="70CDFB3C" w14:textId="77777777" w:rsidR="00974A8E" w:rsidRDefault="00974A8E" w:rsidP="00974A8E">
      <w:r>
        <w:t xml:space="preserve">Another major development was the operationalization of core practice components through the addition of corresponding </w:t>
      </w:r>
      <w:r w:rsidRPr="006A0B79">
        <w:rPr>
          <w:i/>
          <w:iCs/>
        </w:rPr>
        <w:t>practice activities</w:t>
      </w:r>
      <w:r>
        <w:t>. A</w:t>
      </w:r>
      <w:r w:rsidRPr="005A524D">
        <w:t xml:space="preserve"> practice model leadership team within The Impact Center at FPG</w:t>
      </w:r>
      <w:r>
        <w:t xml:space="preserve"> met frequently over two years to develop and refine practice activities based on feedback from ICTP regional support specialists. This resulted in three sets of practice activities being used in the ICTP projects—one from </w:t>
      </w:r>
      <w:r w:rsidRPr="005A524D">
        <w:t>August through December 2017</w:t>
      </w:r>
      <w:r>
        <w:t xml:space="preserve">, a second from </w:t>
      </w:r>
      <w:r w:rsidRPr="006A0B79">
        <w:t>January 2018 through June 2019</w:t>
      </w:r>
      <w:r>
        <w:t xml:space="preserve">, and a third from </w:t>
      </w:r>
      <w:r w:rsidRPr="006A0B79">
        <w:t>July 2019</w:t>
      </w:r>
      <w:r>
        <w:t xml:space="preserve"> until the publication of this practice compendium. </w:t>
      </w:r>
    </w:p>
    <w:p w14:paraId="292C2283" w14:textId="77777777" w:rsidR="00974A8E" w:rsidRDefault="00974A8E" w:rsidP="00974A8E"/>
    <w:p w14:paraId="1D34BCDB" w14:textId="77777777" w:rsidR="00974A8E" w:rsidRDefault="00974A8E" w:rsidP="00974A8E">
      <w:r>
        <w:t xml:space="preserve">The third set of practice activities was particularly noteworthy for the identification of </w:t>
      </w:r>
      <w:r w:rsidRPr="00734AA4">
        <w:rPr>
          <w:i/>
          <w:iCs/>
        </w:rPr>
        <w:t>essential activities</w:t>
      </w:r>
      <w:r>
        <w:t xml:space="preserve"> and </w:t>
      </w:r>
      <w:r w:rsidRPr="00734AA4">
        <w:rPr>
          <w:i/>
          <w:iCs/>
        </w:rPr>
        <w:t>practice enhancers</w:t>
      </w:r>
      <w:r>
        <w:rPr>
          <w:i/>
          <w:iCs/>
        </w:rPr>
        <w:t xml:space="preserve"> </w:t>
      </w:r>
      <w:r w:rsidRPr="00C91E88">
        <w:fldChar w:fldCharType="begin"/>
      </w:r>
      <w:r>
        <w:instrText xml:space="preserve"> ADDIN EN.CITE &lt;EndNote&gt;&lt;Cite&gt;&lt;Author&gt;Aldridge II&lt;/Author&gt;&lt;Year&gt;2022&lt;/Year&gt;&lt;RecNum&gt;11549&lt;/RecNum&gt;&lt;DisplayText&gt;[25]&lt;/DisplayText&gt;&lt;record&gt;&lt;rec-number&gt;11549&lt;/rec-number&gt;&lt;foreign-keys&gt;&lt;key app="EN" db-id="92tw0sxaredrdoeva2ovde9md0ept0ezp55z" timestamp="1637356904"&gt;11549&lt;/key&gt;&lt;/foreign-keys&gt;&lt;ref-type name="Journal Article"&gt;17&lt;/ref-type&gt;&lt;contributors&gt;&lt;authors&gt;&lt;author&gt;Aldridge II, William A.&lt;/author&gt;&lt;author&gt;Rebecca H. Roppolo&lt;/author&gt;&lt;author&gt;Shannon D. Chaplo&lt;/author&gt;&lt;author&gt;Ariel B. Everett&lt;/author&gt;&lt;author&gt;Sherra Lawrence&lt;/author&gt;&lt;author&gt;Christina I. DiSalvo&lt;/author&gt;&lt;author&gt;Devon R. Minch&lt;/author&gt;&lt;author&gt;Jessica J. Reed&lt;/author&gt;&lt;author&gt;Renee I. Boothroyd&lt;/author&gt;&lt;/authors&gt;&lt;/contributors&gt;&lt;titles&gt;&lt;title&gt;Trajectory of External Implementation Support Activities across Two States: A Descriptive Study [Manuscript in preparation]&lt;/title&gt;&lt;/titles&gt;&lt;dates&gt;&lt;year&gt;2022&lt;/year&gt;&lt;/dates&gt;&lt;urls&gt;&lt;/urls&gt;&lt;/record&gt;&lt;/Cite&gt;&lt;/EndNote&gt;</w:instrText>
      </w:r>
      <w:r w:rsidRPr="00C91E88">
        <w:fldChar w:fldCharType="separate"/>
      </w:r>
      <w:r>
        <w:rPr>
          <w:noProof/>
        </w:rPr>
        <w:t>[14]</w:t>
      </w:r>
      <w:r w:rsidRPr="00C91E88">
        <w:fldChar w:fldCharType="end"/>
      </w:r>
      <w:r w:rsidRPr="00C91E88">
        <w:t xml:space="preserve">. </w:t>
      </w:r>
      <w:r w:rsidRPr="00734AA4">
        <w:t>Essential activities</w:t>
      </w:r>
      <w:r w:rsidRPr="00C91E88">
        <w:t xml:space="preserve"> </w:t>
      </w:r>
      <w:r>
        <w:t>are</w:t>
      </w:r>
      <w:r w:rsidRPr="00C91E88">
        <w:t xml:space="preserve"> </w:t>
      </w:r>
      <w:r>
        <w:t>those believed</w:t>
      </w:r>
      <w:r w:rsidRPr="00C91E88">
        <w:t xml:space="preserve"> to directly contribute to </w:t>
      </w:r>
      <w:r>
        <w:t xml:space="preserve">the </w:t>
      </w:r>
      <w:r w:rsidRPr="00C91E88">
        <w:t xml:space="preserve">achievement of </w:t>
      </w:r>
      <w:r>
        <w:t xml:space="preserve">the </w:t>
      </w:r>
      <w:r w:rsidRPr="00C91E88">
        <w:t xml:space="preserve">near-term </w:t>
      </w:r>
      <w:r>
        <w:t xml:space="preserve">practice </w:t>
      </w:r>
      <w:r w:rsidRPr="00C91E88">
        <w:t xml:space="preserve">outcomes of each </w:t>
      </w:r>
      <w:r>
        <w:t>core practice component</w:t>
      </w:r>
      <w:r w:rsidRPr="00C91E88">
        <w:t xml:space="preserve">. </w:t>
      </w:r>
      <w:r w:rsidRPr="00734AA4">
        <w:t>Practice enhancers</w:t>
      </w:r>
      <w:r>
        <w:t xml:space="preserve"> are</w:t>
      </w:r>
      <w:r w:rsidRPr="00C91E88">
        <w:t xml:space="preserve"> </w:t>
      </w:r>
      <w:r>
        <w:t>those believed</w:t>
      </w:r>
      <w:r w:rsidRPr="00C91E88">
        <w:t xml:space="preserve"> to accelerate or otherwise enhance the realization of near-term practice outcomes, even if </w:t>
      </w:r>
      <w:r>
        <w:t xml:space="preserve">those </w:t>
      </w:r>
      <w:r w:rsidRPr="00C91E88">
        <w:t xml:space="preserve">outcomes </w:t>
      </w:r>
      <w:r>
        <w:t>could be achieved</w:t>
      </w:r>
      <w:r w:rsidRPr="00C91E88">
        <w:t xml:space="preserve"> in their absence.</w:t>
      </w:r>
      <w:r>
        <w:t xml:space="preserve"> The early details of the evolution and application of core practice components are well reported by Aldridge and colleagues </w:t>
      </w:r>
      <w:r>
        <w:fldChar w:fldCharType="begin"/>
      </w:r>
      <w:r>
        <w:instrText xml:space="preserve"> ADDIN EN.CITE &lt;EndNote&gt;&lt;Cite&gt;&lt;Author&gt;Aldridge II&lt;/Author&gt;&lt;Year&gt;2022&lt;/Year&gt;&lt;RecNum&gt;11549&lt;/RecNum&gt;&lt;DisplayText&gt;[25]&lt;/DisplayText&gt;&lt;record&gt;&lt;rec-number&gt;11549&lt;/rec-number&gt;&lt;foreign-keys&gt;&lt;key app="EN" db-id="92tw0sxaredrdoeva2ovde9md0ept0ezp55z" timestamp="1637356904"&gt;11549&lt;/key&gt;&lt;/foreign-keys&gt;&lt;ref-type name="Journal Article"&gt;17&lt;/ref-type&gt;&lt;contributors&gt;&lt;authors&gt;&lt;author&gt;Aldridge II, William A.&lt;/author&gt;&lt;author&gt;Rebecca H. Roppolo&lt;/author&gt;&lt;author&gt;Shannon D. Chaplo&lt;/author&gt;&lt;author&gt;Ariel B. Everett&lt;/author&gt;&lt;author&gt;Sherra Lawrence&lt;/author&gt;&lt;author&gt;Christina I. DiSalvo&lt;/author&gt;&lt;author&gt;Devon R. Minch&lt;/author&gt;&lt;author&gt;Jessica J. Reed&lt;/author&gt;&lt;author&gt;Renee I. Boothroyd&lt;/author&gt;&lt;/authors&gt;&lt;/contributors&gt;&lt;titles&gt;&lt;title&gt;Trajectory of External Implementation Support Activities across Two States: A Descriptive Study [Manuscript in preparation]&lt;/title&gt;&lt;/titles&gt;&lt;dates&gt;&lt;year&gt;2022&lt;/year&gt;&lt;/dates&gt;&lt;urls&gt;&lt;/urls&gt;&lt;/record&gt;&lt;/Cite&gt;&lt;/EndNote&gt;</w:instrText>
      </w:r>
      <w:r>
        <w:fldChar w:fldCharType="separate"/>
      </w:r>
      <w:r>
        <w:rPr>
          <w:noProof/>
        </w:rPr>
        <w:t>[14]</w:t>
      </w:r>
      <w:r>
        <w:fldChar w:fldCharType="end"/>
      </w:r>
      <w:r>
        <w:t xml:space="preserve"> in their examination of the trajectory of EIS within the ICTP projects over more than five years.</w:t>
      </w:r>
    </w:p>
    <w:p w14:paraId="0B3DD90E" w14:textId="77777777" w:rsidR="00974A8E" w:rsidRDefault="00974A8E" w:rsidP="00974A8E"/>
    <w:p w14:paraId="5EBCAA1A" w14:textId="77777777" w:rsidR="00974A8E" w:rsidRDefault="00974A8E" w:rsidP="00974A8E">
      <w:r w:rsidRPr="6C25CB59">
        <w:t xml:space="preserve">Most recently, several events, developments, and decisions have led to the version of the </w:t>
      </w:r>
      <w:r>
        <w:t xml:space="preserve">ICTP </w:t>
      </w:r>
      <w:r w:rsidRPr="6C25CB59">
        <w:t xml:space="preserve">practice model detailed in this practice compendium. First, from April through August 2021, members of The Impact Center at FPG met for deep dives into each core practice component. </w:t>
      </w:r>
      <w:r>
        <w:t xml:space="preserve">These sessions involved reflecting (again) on key background literature, reviewing several years of data from the ICTP projects, looking at examples of core practice components in action, and determining how to clearly differentiate between similar practice activities across core components. </w:t>
      </w:r>
      <w:r w:rsidRPr="6C25CB59">
        <w:t xml:space="preserve">This led to </w:t>
      </w:r>
      <w:r>
        <w:t xml:space="preserve">our </w:t>
      </w:r>
      <w:r w:rsidRPr="6C25CB59">
        <w:t xml:space="preserve">further </w:t>
      </w:r>
      <w:r>
        <w:t xml:space="preserve">refinement of the </w:t>
      </w:r>
      <w:r w:rsidRPr="6C25CB59">
        <w:t xml:space="preserve">language and enhanced understanding about how core practice components could be used to drive </w:t>
      </w:r>
      <w:r>
        <w:t xml:space="preserve">regional </w:t>
      </w:r>
      <w:r w:rsidRPr="6C25CB59">
        <w:t>practice outcomes</w:t>
      </w:r>
      <w:r>
        <w:t xml:space="preserve"> at individual/team and organization/system levels</w:t>
      </w:r>
      <w:r w:rsidRPr="6C25CB59">
        <w:t xml:space="preserve">. </w:t>
      </w:r>
    </w:p>
    <w:p w14:paraId="06D6943F" w14:textId="77777777" w:rsidR="00974A8E" w:rsidRDefault="00974A8E" w:rsidP="00974A8E"/>
    <w:p w14:paraId="7101DE78" w14:textId="77777777" w:rsidR="00974A8E" w:rsidRDefault="00974A8E" w:rsidP="00974A8E">
      <w:r>
        <w:t xml:space="preserve">In late 2021, ICTP project team members adopted 11 practice values, complementing the eight implementation support practice principles. </w:t>
      </w:r>
      <w:r w:rsidRPr="00D2739D">
        <w:rPr>
          <w:b/>
          <w:bCs/>
        </w:rPr>
        <w:t>Figure 4.2</w:t>
      </w:r>
      <w:r>
        <w:t xml:space="preserve"> demonstrates how the 10 core practice components are nested within the eight implementation support practice principles, which are further nested with the 11 practice values.</w:t>
      </w:r>
    </w:p>
    <w:p w14:paraId="1E6AB480" w14:textId="77777777" w:rsidR="00D2739D" w:rsidRDefault="00D2739D" w:rsidP="00F04547">
      <w:pPr>
        <w:ind w:left="0"/>
      </w:pPr>
    </w:p>
    <w:p w14:paraId="0A8CB0F7" w14:textId="7AB90B28" w:rsidR="004836BB" w:rsidRPr="00974A8E" w:rsidRDefault="00974A8E" w:rsidP="00974A8E">
      <w:pPr>
        <w:pStyle w:val="Caption"/>
      </w:pPr>
      <w:r>
        <w:rPr>
          <w:b/>
          <w:bCs/>
        </w:rPr>
        <w:lastRenderedPageBreak/>
        <w:t>F</w:t>
      </w:r>
      <w:r w:rsidRPr="00DA05E6">
        <w:rPr>
          <w:b/>
          <w:bCs/>
        </w:rPr>
        <w:t>igure</w:t>
      </w:r>
      <w:r>
        <w:rPr>
          <w:b/>
          <w:bCs/>
        </w:rPr>
        <w:t xml:space="preserve"> 4.2</w:t>
      </w:r>
      <w:r w:rsidRPr="00DA05E6">
        <w:t xml:space="preserve"> Nesting of ICTP Practice Values, Implementation Support Practice Principles, and Core Practice Component</w:t>
      </w:r>
    </w:p>
    <w:p w14:paraId="2F447522" w14:textId="50F8BEE0" w:rsidR="00695E8D" w:rsidRDefault="00974A8E" w:rsidP="00D2739D">
      <w:r w:rsidRPr="00D2739D">
        <w:rPr>
          <w:noProof/>
        </w:rPr>
        <w:drawing>
          <wp:inline distT="0" distB="0" distL="0" distR="0" wp14:anchorId="71BF7D20" wp14:editId="69427675">
            <wp:extent cx="5254786" cy="2792821"/>
            <wp:effectExtent l="0" t="0" r="3175" b="1270"/>
            <wp:docPr id="2119138899" name="Picture 1" descr="Nesting of core practice components inside implementation support principles in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8899" name="Picture 1" descr="Nesting of core practice components inside implementation support principles in value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4786" cy="2792821"/>
                    </a:xfrm>
                    <a:prstGeom prst="rect">
                      <a:avLst/>
                    </a:prstGeom>
                  </pic:spPr>
                </pic:pic>
              </a:graphicData>
            </a:graphic>
          </wp:inline>
        </w:drawing>
      </w:r>
    </w:p>
    <w:p w14:paraId="245F3559" w14:textId="77777777" w:rsidR="00974A8E" w:rsidRDefault="00974A8E" w:rsidP="00974A8E">
      <w:pPr>
        <w:pStyle w:val="FigureTitles"/>
      </w:pPr>
    </w:p>
    <w:p w14:paraId="6705DAD4" w14:textId="77777777" w:rsidR="00974A8E" w:rsidRDefault="00974A8E" w:rsidP="00974A8E">
      <w:r>
        <w:t xml:space="preserve">Shortly thereafter, several members of the ICTP project team wrote two journal articles that laid the foundations of the regional practice model in the peer-reviewed literature. The first article </w:t>
      </w:r>
      <w:r>
        <w:fldChar w:fldCharType="begin"/>
      </w:r>
      <w:r>
        <w:instrText xml:space="preserve"> ADDIN EN.CITE &lt;EndNote&gt;&lt;Cite&gt;&lt;Author&gt;Aldridge&lt;/Author&gt;&lt;Year&gt;2022&lt;/Year&gt;&lt;RecNum&gt;3735&lt;/RecNum&gt;&lt;DisplayText&gt;[13]&lt;/DisplayText&gt;&lt;record&gt;&lt;rec-number&gt;3735&lt;/rec-number&gt;&lt;foreign-keys&gt;&lt;key app="EN" db-id="92tw0sxaredrdoeva2ovde9md0ept0ezp55z" timestamp="0"&gt;3735&lt;/key&gt;&lt;/foreign-keys&gt;&lt;ref-type name="Journal Article"&gt;17&lt;/ref-type&gt;&lt;contributors&gt;&lt;authors&gt;&lt;author&gt;Aldridge, W. A., II&lt;/author&gt;&lt;author&gt;Roppolo, R. H.&lt;/author&gt;&lt;author&gt;Brown, J.&lt;/author&gt;&lt;author&gt;Bumbarger, B. K.&lt;/author&gt;&lt;author&gt;Boothroyd, R. I.&lt;/author&gt;&lt;/authors&gt;&lt;/contributors&gt;&lt;titles&gt;&lt;title&gt;Core Practice Components and Outcomes of External Implementation Support: A Conceptual Model and Case Examples to Guide Research and Practice [Manuscript submitted for publication]&lt;/title&gt;&lt;/titles&gt;&lt;dates&gt;&lt;year&gt;2022&lt;/year&gt;&lt;/dates&gt;&lt;urls&gt;&lt;/urls&gt;&lt;/record&gt;&lt;/Cite&gt;&lt;/EndNote&gt;</w:instrText>
      </w:r>
      <w:r>
        <w:fldChar w:fldCharType="separate"/>
      </w:r>
      <w:r>
        <w:rPr>
          <w:noProof/>
        </w:rPr>
        <w:t>[10]</w:t>
      </w:r>
      <w:r>
        <w:fldChar w:fldCharType="end"/>
      </w:r>
      <w:r>
        <w:t xml:space="preserve"> focuses on the theoretical and conceptual foundations of the practice model, with a particular focus on the core practice components as </w:t>
      </w:r>
      <w:r w:rsidRPr="00D239B4">
        <w:rPr>
          <w:i/>
          <w:iCs/>
        </w:rPr>
        <w:t>mechanisms of change</w:t>
      </w:r>
      <w:r>
        <w:t xml:space="preserve"> in implementation support practice. The second article </w:t>
      </w:r>
      <w:r>
        <w:fldChar w:fldCharType="begin"/>
      </w:r>
      <w:r>
        <w:instrText xml:space="preserve"> ADDIN EN.CITE &lt;EndNote&gt;&lt;Cite&gt;&lt;Author&gt;Aldridge II&lt;/Author&gt;&lt;Year&gt;2022&lt;/Year&gt;&lt;RecNum&gt;11549&lt;/RecNum&gt;&lt;DisplayText&gt;[25]&lt;/DisplayText&gt;&lt;record&gt;&lt;rec-number&gt;11549&lt;/rec-number&gt;&lt;foreign-keys&gt;&lt;key app="EN" db-id="92tw0sxaredrdoeva2ovde9md0ept0ezp55z" timestamp="1637356904"&gt;11549&lt;/key&gt;&lt;/foreign-keys&gt;&lt;ref-type name="Journal Article"&gt;17&lt;/ref-type&gt;&lt;contributors&gt;&lt;authors&gt;&lt;author&gt;Aldridge II, William A.&lt;/author&gt;&lt;author&gt;Rebecca H. Roppolo&lt;/author&gt;&lt;author&gt;Shannon D. Chaplo&lt;/author&gt;&lt;author&gt;Ariel B. Everett&lt;/author&gt;&lt;author&gt;Sherra Lawrence&lt;/author&gt;&lt;author&gt;Christina I. DiSalvo&lt;/author&gt;&lt;author&gt;Devon R. Minch&lt;/author&gt;&lt;author&gt;Jessica J. Reed&lt;/author&gt;&lt;author&gt;Renee I. Boothroyd&lt;/author&gt;&lt;/authors&gt;&lt;/contributors&gt;&lt;titles&gt;&lt;title&gt;Trajectory of External Implementation Support Activities across Two States: A Descriptive Study [Manuscript in preparation]&lt;/title&gt;&lt;/titles&gt;&lt;dates&gt;&lt;year&gt;2022&lt;/year&gt;&lt;/dates&gt;&lt;urls&gt;&lt;/urls&gt;&lt;/record&gt;&lt;/Cite&gt;&lt;/EndNote&gt;</w:instrText>
      </w:r>
      <w:r>
        <w:fldChar w:fldCharType="separate"/>
      </w:r>
      <w:r>
        <w:rPr>
          <w:noProof/>
        </w:rPr>
        <w:t>[14]</w:t>
      </w:r>
      <w:r>
        <w:fldChar w:fldCharType="end"/>
      </w:r>
      <w:r>
        <w:t xml:space="preserve"> details the development of practice activities and reports the results of a study in which ICTP regional support teams across NC and SC Triple P regions used core practice components and practice activities for more than five years. This study illustrated the typically dynamic use of core practice components and practice activities by ICTP regional support teams and indicated the need for some refinements among the then-current set of practice activities.</w:t>
      </w:r>
    </w:p>
    <w:p w14:paraId="66A8EC80" w14:textId="77777777" w:rsidR="00974A8E" w:rsidRDefault="00974A8E" w:rsidP="00974A8E"/>
    <w:p w14:paraId="7985E382" w14:textId="77777777" w:rsidR="00974A8E" w:rsidRDefault="00974A8E" w:rsidP="00974A8E">
      <w:r w:rsidRPr="6C25CB59">
        <w:t xml:space="preserve">These developments were then carried into The Impact Center at FPG’s </w:t>
      </w:r>
      <w:r>
        <w:t>six</w:t>
      </w:r>
      <w:r w:rsidRPr="00A8304A">
        <w:t>th</w:t>
      </w:r>
      <w:r>
        <w:t xml:space="preserve"> </w:t>
      </w:r>
      <w:r w:rsidRPr="003F75E3">
        <w:rPr>
          <w:i/>
          <w:iCs/>
        </w:rPr>
        <w:t xml:space="preserve">Foundational Professional Development Series on Implementation Science and Practice </w:t>
      </w:r>
      <w:r>
        <w:t>during</w:t>
      </w:r>
      <w:r w:rsidRPr="6C25CB59">
        <w:t xml:space="preserve"> spring/summer 2022. </w:t>
      </w:r>
      <w:r>
        <w:t>T</w:t>
      </w:r>
      <w:r w:rsidRPr="6C25CB59">
        <w:t>his training and mentoring series</w:t>
      </w:r>
      <w:r>
        <w:t xml:space="preserve"> enabled </w:t>
      </w:r>
      <w:r w:rsidRPr="6C25CB59">
        <w:t xml:space="preserve">ICTP </w:t>
      </w:r>
      <w:r>
        <w:t xml:space="preserve">project </w:t>
      </w:r>
      <w:r w:rsidRPr="6C25CB59">
        <w:t xml:space="preserve">team </w:t>
      </w:r>
      <w:r>
        <w:t>leaders</w:t>
      </w:r>
      <w:r w:rsidRPr="6C25CB59">
        <w:t xml:space="preserve"> to develop and test new ways of teaching the </w:t>
      </w:r>
      <w:r>
        <w:t xml:space="preserve">regional </w:t>
      </w:r>
      <w:r w:rsidRPr="6C25CB59">
        <w:t>practice model and receive feedback from learners.</w:t>
      </w:r>
    </w:p>
    <w:p w14:paraId="2075D97B" w14:textId="77777777" w:rsidR="00974A8E" w:rsidRDefault="00974A8E" w:rsidP="00974A8E"/>
    <w:p w14:paraId="642502B2" w14:textId="77777777" w:rsidR="00974A8E" w:rsidRDefault="00974A8E" w:rsidP="00974A8E">
      <w:r>
        <w:t xml:space="preserve">In parallel to these recent events, the ICTP practice model has evolved by instituting </w:t>
      </w:r>
    </w:p>
    <w:p w14:paraId="7AE55DA6" w14:textId="77777777" w:rsidR="00974A8E" w:rsidRPr="00974A8E" w:rsidRDefault="00974A8E" w:rsidP="00974A8E">
      <w:pPr>
        <w:pStyle w:val="ListBullet"/>
      </w:pPr>
      <w:r w:rsidRPr="00974A8E">
        <w:t xml:space="preserve">a three-tiered model of regional support, detailing objectives, activities, and characteristics of Triple P regions participating in intensive/broad-focused support, brief/narrow-focused support, and universal </w:t>
      </w:r>
      <w:proofErr w:type="gramStart"/>
      <w:r w:rsidRPr="00974A8E">
        <w:t>support;</w:t>
      </w:r>
      <w:proofErr w:type="gramEnd"/>
    </w:p>
    <w:p w14:paraId="4C46943A" w14:textId="7DB7CF4E" w:rsidR="00974A8E" w:rsidRPr="00974A8E" w:rsidRDefault="00974A8E" w:rsidP="00974A8E">
      <w:pPr>
        <w:pStyle w:val="ListBullet"/>
      </w:pPr>
      <w:r w:rsidRPr="00974A8E">
        <w:lastRenderedPageBreak/>
        <w:t xml:space="preserve">a more robust agenda for media and networking activities focused on spreading effective implementation practices, including analyzing the relationships between system partners in both North Carolina and South Carolina and engaging in a variety of communication activities meant to complement direct EIS provided by ICTP regional support </w:t>
      </w:r>
      <w:proofErr w:type="gramStart"/>
      <w:r w:rsidRPr="00974A8E">
        <w:t>teams;</w:t>
      </w:r>
      <w:proofErr w:type="gramEnd"/>
      <w:r w:rsidRPr="00974A8E">
        <w:t xml:space="preserve"> </w:t>
      </w:r>
    </w:p>
    <w:p w14:paraId="4AB156B4" w14:textId="77777777" w:rsidR="00974A8E" w:rsidRPr="00974A8E" w:rsidRDefault="00974A8E" w:rsidP="00974A8E">
      <w:pPr>
        <w:pStyle w:val="ListBullet"/>
      </w:pPr>
      <w:r w:rsidRPr="00974A8E">
        <w:t>“</w:t>
      </w:r>
      <w:proofErr w:type="gramStart"/>
      <w:r w:rsidRPr="00974A8E">
        <w:t>design</w:t>
      </w:r>
      <w:proofErr w:type="gramEnd"/>
      <w:r w:rsidRPr="00974A8E">
        <w:t xml:space="preserve"> and consultation support,” provided by ICTP implementation support specialists to state and regional partners to enhance implementation design and address specific challenges or changes; </w:t>
      </w:r>
    </w:p>
    <w:p w14:paraId="105804DF" w14:textId="77777777" w:rsidR="00974A8E" w:rsidRPr="00974A8E" w:rsidRDefault="00974A8E" w:rsidP="00974A8E">
      <w:pPr>
        <w:pStyle w:val="ListBullet"/>
      </w:pPr>
      <w:r w:rsidRPr="00974A8E">
        <w:t>a more complete set of resources for learning and applying effective implementation practices for Triple P in the Carolinas, including comprehensive sets of implementation practice learning objectives and related practice tools for regional Triple P partners; and</w:t>
      </w:r>
    </w:p>
    <w:p w14:paraId="6C1A0C39" w14:textId="168873C5" w:rsidR="001C692F" w:rsidRDefault="00974A8E" w:rsidP="005D102B">
      <w:pPr>
        <w:pStyle w:val="ListBullet"/>
      </w:pPr>
      <w:r w:rsidRPr="00974A8E">
        <w:t>a more feasible and useful ICTP practice quality and outcome monitoring system, designed to improve ICTP implementation support through data-based decision making.</w:t>
      </w:r>
    </w:p>
    <w:p w14:paraId="33A04C76" w14:textId="10A6DC25" w:rsidR="001C692F" w:rsidRDefault="001C692F" w:rsidP="00974A8E"/>
    <w:p w14:paraId="62FFF6B7" w14:textId="6B473DBD" w:rsidR="00160348" w:rsidRDefault="00974A8E" w:rsidP="005D102B">
      <w:r w:rsidRPr="001C5AC8">
        <w:rPr>
          <w:rFonts w:eastAsia="Libre Baskerville"/>
          <w:sz w:val="24"/>
          <w:szCs w:val="24"/>
        </w:rPr>
        <w:t xml:space="preserve"> </w:t>
      </w:r>
      <w:r w:rsidR="00160348">
        <w:t xml:space="preserve">A timeline summarizing the major development activities for the ICTP implementation support practice model is provided in </w:t>
      </w:r>
      <w:r w:rsidR="005D102B" w:rsidRPr="005D102B">
        <w:rPr>
          <w:b/>
          <w:bCs/>
        </w:rPr>
        <w:t>Figure 4.3</w:t>
      </w:r>
      <w:r w:rsidR="005D102B" w:rsidRPr="005D102B">
        <w:t xml:space="preserve"> below.</w:t>
      </w:r>
    </w:p>
    <w:p w14:paraId="1D6A34BF" w14:textId="77777777" w:rsidR="001C692F" w:rsidRDefault="001C692F" w:rsidP="00160348">
      <w:pPr>
        <w:ind w:left="0"/>
      </w:pPr>
    </w:p>
    <w:p w14:paraId="683D6CCA" w14:textId="7C3DA3CC" w:rsidR="001C692F" w:rsidRDefault="00F04547" w:rsidP="00974A8E">
      <w:r>
        <w:rPr>
          <w:noProof/>
        </w:rPr>
        <w:drawing>
          <wp:inline distT="0" distB="0" distL="0" distR="0" wp14:anchorId="63C1B3F5" wp14:editId="532CE7E9">
            <wp:extent cx="5509099" cy="3305810"/>
            <wp:effectExtent l="0" t="0" r="3175" b="0"/>
            <wp:docPr id="1546351166" name="Picture 1" descr="Timeline starting from 2016 to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1166" name="Picture 1" descr="Timeline starting from 2016 to May 2024"/>
                    <pic:cNvPicPr/>
                  </pic:nvPicPr>
                  <pic:blipFill rotWithShape="1">
                    <a:blip r:embed="rId13" cstate="print">
                      <a:extLst>
                        <a:ext uri="{28A0092B-C50C-407E-A947-70E740481C1C}">
                          <a14:useLocalDpi xmlns:a14="http://schemas.microsoft.com/office/drawing/2010/main" val="0"/>
                        </a:ext>
                      </a:extLst>
                    </a:blip>
                    <a:srcRect l="49" t="5319" r="26140" b="11345"/>
                    <a:stretch/>
                  </pic:blipFill>
                  <pic:spPr bwMode="auto">
                    <a:xfrm>
                      <a:off x="0" y="0"/>
                      <a:ext cx="5539331" cy="3323951"/>
                    </a:xfrm>
                    <a:prstGeom prst="rect">
                      <a:avLst/>
                    </a:prstGeom>
                    <a:ln>
                      <a:noFill/>
                    </a:ln>
                    <a:extLst>
                      <a:ext uri="{53640926-AAD7-44D8-BBD7-CCE9431645EC}">
                        <a14:shadowObscured xmlns:a14="http://schemas.microsoft.com/office/drawing/2010/main"/>
                      </a:ext>
                    </a:extLst>
                  </pic:spPr>
                </pic:pic>
              </a:graphicData>
            </a:graphic>
          </wp:inline>
        </w:drawing>
      </w:r>
    </w:p>
    <w:p w14:paraId="2B2EC7BE" w14:textId="77777777" w:rsidR="001C692F" w:rsidRDefault="001C692F" w:rsidP="00974A8E"/>
    <w:p w14:paraId="03E565C4" w14:textId="77777777" w:rsidR="001C692F" w:rsidRDefault="001C692F" w:rsidP="00974A8E"/>
    <w:p w14:paraId="4258A74A" w14:textId="3CB19672" w:rsidR="00974A8E" w:rsidRDefault="00974A8E" w:rsidP="00974A8E">
      <w:r>
        <w:t xml:space="preserve">From the start, we’ve characterized our overarching approach to development of the practice model as a process of </w:t>
      </w:r>
      <w:r w:rsidRPr="00AF0F9D">
        <w:t>theorizing</w:t>
      </w:r>
      <w:r w:rsidRPr="00575296">
        <w:t xml:space="preserve"> </w:t>
      </w:r>
      <w:r>
        <w:t xml:space="preserve">within implementation science, as advocated for by </w:t>
      </w:r>
      <w:proofErr w:type="spellStart"/>
      <w:r w:rsidRPr="00AF0F9D">
        <w:t>Kislov</w:t>
      </w:r>
      <w:proofErr w:type="spellEnd"/>
      <w:r w:rsidRPr="00AF0F9D">
        <w:t xml:space="preserve"> and colleagues [15]</w:t>
      </w:r>
      <w:r>
        <w:t xml:space="preserve">. </w:t>
      </w:r>
      <w:r>
        <w:lastRenderedPageBreak/>
        <w:t xml:space="preserve">According to </w:t>
      </w:r>
      <w:proofErr w:type="spellStart"/>
      <w:r>
        <w:t>Kislov</w:t>
      </w:r>
      <w:proofErr w:type="spellEnd"/>
      <w:r>
        <w:t xml:space="preserve"> and colleagues, the theorizing process accommodates a more fluid and repetitive interplay between scientific data</w:t>
      </w:r>
      <w:r w:rsidRPr="00967689">
        <w:t xml:space="preserve">, practice, and </w:t>
      </w:r>
      <w:r>
        <w:t>theory than that afforded by traditional methods of theory and intervention development. This</w:t>
      </w:r>
      <w:r w:rsidRPr="00F8685B">
        <w:t xml:space="preserve"> also means that even the version of the practice model detailed in this compendium is subject to further refinement.</w:t>
      </w:r>
      <w:r>
        <w:t xml:space="preserve"> Overall, this approach has lent itself well to linking, testing, and refining theory at each level of the ICTP practice model, as seen in Figure 4.4. Although readers may be unfamiliar with some terminology in the figure, we present it here to provide a visual depiction of the complex processes involved in refining the model.</w:t>
      </w:r>
    </w:p>
    <w:p w14:paraId="49155A10" w14:textId="77777777" w:rsidR="007B396D" w:rsidRDefault="007B396D" w:rsidP="007B396D"/>
    <w:p w14:paraId="09B8DE4E" w14:textId="2F7C27F3" w:rsidR="007B396D" w:rsidRPr="007B396D" w:rsidRDefault="005D102B" w:rsidP="007B396D">
      <w:r w:rsidRPr="007B396D">
        <w:rPr>
          <w:b/>
          <w:bCs/>
        </w:rPr>
        <w:t>Figure 4.4</w:t>
      </w:r>
      <w:r w:rsidR="007B396D" w:rsidRPr="007B396D">
        <w:rPr>
          <w:b/>
          <w:bCs/>
        </w:rPr>
        <w:t xml:space="preserve"> </w:t>
      </w:r>
      <w:r w:rsidR="007B396D" w:rsidRPr="007B396D">
        <w:t>Linking, Testing, and Refining Theory at Each Level of the ICTP Implementation Support Practice Model [Adapted from 15]</w:t>
      </w:r>
    </w:p>
    <w:p w14:paraId="53B6EE35" w14:textId="14351DE5" w:rsidR="00065645" w:rsidRPr="002A5798" w:rsidRDefault="005D102B" w:rsidP="00896732">
      <w:pPr>
        <w:pStyle w:val="SubTextforFigorTable"/>
      </w:pPr>
      <w:r w:rsidRPr="005D102B">
        <w:t xml:space="preserve"> </w:t>
      </w:r>
    </w:p>
    <w:p w14:paraId="2BDD53D4" w14:textId="1F91BA3A" w:rsidR="00065645" w:rsidRDefault="00974A8E" w:rsidP="00450663">
      <w:r w:rsidRPr="008766F8">
        <w:rPr>
          <w:noProof/>
        </w:rPr>
        <w:drawing>
          <wp:inline distT="0" distB="0" distL="0" distR="0" wp14:anchorId="34A1F6FF" wp14:editId="6DEFDE20">
            <wp:extent cx="5159118" cy="2391779"/>
            <wp:effectExtent l="0" t="0" r="0" b="0"/>
            <wp:docPr id="212103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38802" name="Picture 1"/>
                    <pic:cNvPicPr/>
                  </pic:nvPicPr>
                  <pic:blipFill rotWithShape="1">
                    <a:blip r:embed="rId14" cstate="print">
                      <a:extLst>
                        <a:ext uri="{28A0092B-C50C-407E-A947-70E740481C1C}">
                          <a14:useLocalDpi xmlns:a14="http://schemas.microsoft.com/office/drawing/2010/main" val="0"/>
                        </a:ext>
                      </a:extLst>
                    </a:blip>
                    <a:srcRect t="5429" b="7343"/>
                    <a:stretch/>
                  </pic:blipFill>
                  <pic:spPr bwMode="auto">
                    <a:xfrm>
                      <a:off x="0" y="0"/>
                      <a:ext cx="5160923" cy="2392616"/>
                    </a:xfrm>
                    <a:prstGeom prst="rect">
                      <a:avLst/>
                    </a:prstGeom>
                    <a:ln>
                      <a:noFill/>
                    </a:ln>
                    <a:extLst>
                      <a:ext uri="{53640926-AAD7-44D8-BBD7-CCE9431645EC}">
                        <a14:shadowObscured xmlns:a14="http://schemas.microsoft.com/office/drawing/2010/main"/>
                      </a:ext>
                    </a:extLst>
                  </pic:spPr>
                </pic:pic>
              </a:graphicData>
            </a:graphic>
          </wp:inline>
        </w:drawing>
      </w:r>
    </w:p>
    <w:p w14:paraId="64E5A70F" w14:textId="5C87BE34" w:rsidR="00065645" w:rsidRDefault="00065645" w:rsidP="002A5798"/>
    <w:p w14:paraId="5AAF8818" w14:textId="77777777" w:rsidR="00974A8E" w:rsidRDefault="00974A8E" w:rsidP="00974A8E">
      <w:r>
        <w:t>Beyond recognizing the major developments to our practice model in the past five years as described above, i</w:t>
      </w:r>
      <w:r w:rsidRPr="6C25CB59">
        <w:t xml:space="preserve">n this practice compendium we detail our </w:t>
      </w:r>
      <w:r>
        <w:t xml:space="preserve">two key </w:t>
      </w:r>
      <w:r w:rsidRPr="00A8304A">
        <w:t>aspirations</w:t>
      </w:r>
      <w:r w:rsidRPr="6C25CB59">
        <w:t xml:space="preserve"> for future ICTP implementation support: centering equity and</w:t>
      </w:r>
      <w:r>
        <w:t xml:space="preserve"> more</w:t>
      </w:r>
      <w:r w:rsidRPr="6C25CB59">
        <w:t xml:space="preserve"> strong</w:t>
      </w:r>
      <w:r>
        <w:t>ly</w:t>
      </w:r>
      <w:r w:rsidRPr="6C25CB59">
        <w:t xml:space="preserve"> integrati</w:t>
      </w:r>
      <w:r>
        <w:t>ng</w:t>
      </w:r>
      <w:r w:rsidRPr="6C25CB59">
        <w:t xml:space="preserve"> improvement science methods within our implementation support</w:t>
      </w:r>
      <w:r>
        <w:t xml:space="preserve"> practice</w:t>
      </w:r>
      <w:r w:rsidRPr="6C25CB59">
        <w:t xml:space="preserve">. </w:t>
      </w:r>
    </w:p>
    <w:p w14:paraId="1B04DC35" w14:textId="77777777" w:rsidR="00974A8E" w:rsidRDefault="00974A8E" w:rsidP="00974A8E"/>
    <w:p w14:paraId="2480AEC7" w14:textId="77777777" w:rsidR="00974A8E" w:rsidRDefault="00974A8E" w:rsidP="00974A8E">
      <w:r w:rsidRPr="6C25CB59">
        <w:t>Regarding equity-centered implementation support, we recognize that the goal of supporting the achievement of population-level outcomes, alone, is neither sufficient nor justifiable. This goal must be paired with a matching goal of supporting the reduction or elimination of disparities in intended child and family outcomes</w:t>
      </w:r>
      <w:r>
        <w:t>—</w:t>
      </w:r>
      <w:r w:rsidRPr="6C25CB59">
        <w:t xml:space="preserve">particularly as related to systemic inequities, social determinants of health, and </w:t>
      </w:r>
      <w:r>
        <w:t xml:space="preserve">institutional </w:t>
      </w:r>
      <w:r w:rsidRPr="6C25CB59">
        <w:t>racism</w:t>
      </w:r>
      <w:r>
        <w:t xml:space="preserve"> [16]—as Triple P implementation and scaling activities afford</w:t>
      </w:r>
      <w:r w:rsidRPr="6C25CB59">
        <w:t>. Community-based initiatives</w:t>
      </w:r>
      <w:r>
        <w:t>,</w:t>
      </w:r>
      <w:r w:rsidRPr="6C25CB59">
        <w:t xml:space="preserve"> </w:t>
      </w:r>
      <w:r w:rsidRPr="6C25CB59">
        <w:lastRenderedPageBreak/>
        <w:t>such as those required to support Triple P scale-up</w:t>
      </w:r>
      <w:r>
        <w:t>,</w:t>
      </w:r>
      <w:r w:rsidRPr="6C25CB59">
        <w:t xml:space="preserve"> are uniquely positioned for community-driven collective action for the interests of children and families. </w:t>
      </w:r>
    </w:p>
    <w:p w14:paraId="77BDD3BE" w14:textId="4AF190CF" w:rsidR="00974A8E" w:rsidRDefault="00974A8E" w:rsidP="00974A8E"/>
    <w:p w14:paraId="48711CDB" w14:textId="304D3170" w:rsidR="00974A8E" w:rsidRDefault="000D5487" w:rsidP="00974A8E">
      <w:r>
        <w:rPr>
          <w:noProof/>
        </w:rPr>
        <mc:AlternateContent>
          <mc:Choice Requires="wps">
            <w:drawing>
              <wp:anchor distT="0" distB="0" distL="114300" distR="114300" simplePos="0" relativeHeight="251728896" behindDoc="0" locked="0" layoutInCell="1" allowOverlap="1" wp14:anchorId="7924F2C9" wp14:editId="738D1002">
                <wp:simplePos x="0" y="0"/>
                <wp:positionH relativeFrom="column">
                  <wp:posOffset>-64135</wp:posOffset>
                </wp:positionH>
                <wp:positionV relativeFrom="paragraph">
                  <wp:posOffset>575701</wp:posOffset>
                </wp:positionV>
                <wp:extent cx="1234294" cy="2461846"/>
                <wp:effectExtent l="0" t="0" r="10795" b="15240"/>
                <wp:wrapNone/>
                <wp:docPr id="1215893707" name="Rectangle 3" descr="Dive Deeper: Refer to brief 2 for more information."/>
                <wp:cNvGraphicFramePr/>
                <a:graphic xmlns:a="http://schemas.openxmlformats.org/drawingml/2006/main">
                  <a:graphicData uri="http://schemas.microsoft.com/office/word/2010/wordprocessingShape">
                    <wps:wsp>
                      <wps:cNvSpPr/>
                      <wps:spPr>
                        <a:xfrm>
                          <a:off x="0" y="0"/>
                          <a:ext cx="1234294" cy="2461846"/>
                        </a:xfrm>
                        <a:custGeom>
                          <a:avLst/>
                          <a:gdLst>
                            <a:gd name="connsiteX0" fmla="*/ 0 w 1518285"/>
                            <a:gd name="connsiteY0" fmla="*/ 0 h 1417320"/>
                            <a:gd name="connsiteX1" fmla="*/ 986536 w 1518285"/>
                            <a:gd name="connsiteY1" fmla="*/ 0 h 1417320"/>
                            <a:gd name="connsiteX2" fmla="*/ 986536 w 1518285"/>
                            <a:gd name="connsiteY2" fmla="*/ 708660 h 1417320"/>
                            <a:gd name="connsiteX3" fmla="*/ 1163955 w 1518285"/>
                            <a:gd name="connsiteY3" fmla="*/ 708660 h 1417320"/>
                            <a:gd name="connsiteX4" fmla="*/ 1163955 w 1518285"/>
                            <a:gd name="connsiteY4" fmla="*/ 708660 h 1417320"/>
                            <a:gd name="connsiteX5" fmla="*/ 1518285 w 1518285"/>
                            <a:gd name="connsiteY5" fmla="*/ 708660 h 1417320"/>
                            <a:gd name="connsiteX6" fmla="*/ 1163955 w 1518285"/>
                            <a:gd name="connsiteY6" fmla="*/ 708660 h 1417320"/>
                            <a:gd name="connsiteX7" fmla="*/ 1163955 w 1518285"/>
                            <a:gd name="connsiteY7" fmla="*/ 708660 h 1417320"/>
                            <a:gd name="connsiteX8" fmla="*/ 986536 w 1518285"/>
                            <a:gd name="connsiteY8" fmla="*/ 708660 h 1417320"/>
                            <a:gd name="connsiteX9" fmla="*/ 986536 w 1518285"/>
                            <a:gd name="connsiteY9" fmla="*/ 1417320 h 1417320"/>
                            <a:gd name="connsiteX10" fmla="*/ 0 w 1518285"/>
                            <a:gd name="connsiteY10" fmla="*/ 1417320 h 1417320"/>
                            <a:gd name="connsiteX11" fmla="*/ 0 w 1518285"/>
                            <a:gd name="connsiteY11" fmla="*/ 0 h 1417320"/>
                            <a:gd name="connsiteX0" fmla="*/ 0 w 1163955"/>
                            <a:gd name="connsiteY0" fmla="*/ 0 h 1417320"/>
                            <a:gd name="connsiteX1" fmla="*/ 986536 w 1163955"/>
                            <a:gd name="connsiteY1" fmla="*/ 0 h 1417320"/>
                            <a:gd name="connsiteX2" fmla="*/ 986536 w 1163955"/>
                            <a:gd name="connsiteY2" fmla="*/ 708660 h 1417320"/>
                            <a:gd name="connsiteX3" fmla="*/ 1163955 w 1163955"/>
                            <a:gd name="connsiteY3" fmla="*/ 708660 h 1417320"/>
                            <a:gd name="connsiteX4" fmla="*/ 1163955 w 1163955"/>
                            <a:gd name="connsiteY4" fmla="*/ 708660 h 1417320"/>
                            <a:gd name="connsiteX5" fmla="*/ 1163955 w 1163955"/>
                            <a:gd name="connsiteY5" fmla="*/ 708660 h 1417320"/>
                            <a:gd name="connsiteX6" fmla="*/ 1163955 w 1163955"/>
                            <a:gd name="connsiteY6" fmla="*/ 708660 h 1417320"/>
                            <a:gd name="connsiteX7" fmla="*/ 986536 w 1163955"/>
                            <a:gd name="connsiteY7" fmla="*/ 708660 h 1417320"/>
                            <a:gd name="connsiteX8" fmla="*/ 986536 w 1163955"/>
                            <a:gd name="connsiteY8" fmla="*/ 1417320 h 1417320"/>
                            <a:gd name="connsiteX9" fmla="*/ 0 w 1163955"/>
                            <a:gd name="connsiteY9" fmla="*/ 1417320 h 1417320"/>
                            <a:gd name="connsiteX10" fmla="*/ 0 w 1163955"/>
                            <a:gd name="connsiteY10" fmla="*/ 0 h 141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3955" h="1417320">
                              <a:moveTo>
                                <a:pt x="0" y="0"/>
                              </a:moveTo>
                              <a:lnTo>
                                <a:pt x="986536" y="0"/>
                              </a:lnTo>
                              <a:lnTo>
                                <a:pt x="986536" y="708660"/>
                              </a:lnTo>
                              <a:lnTo>
                                <a:pt x="1163955" y="708660"/>
                              </a:lnTo>
                              <a:lnTo>
                                <a:pt x="1163955" y="708660"/>
                              </a:lnTo>
                              <a:lnTo>
                                <a:pt x="1163955" y="708660"/>
                              </a:lnTo>
                              <a:lnTo>
                                <a:pt x="1163955" y="708660"/>
                              </a:lnTo>
                              <a:lnTo>
                                <a:pt x="986536" y="708660"/>
                              </a:lnTo>
                              <a:lnTo>
                                <a:pt x="986536" y="1417320"/>
                              </a:lnTo>
                              <a:lnTo>
                                <a:pt x="0" y="1417320"/>
                              </a:lnTo>
                              <a:lnTo>
                                <a:pt x="0" y="0"/>
                              </a:lnTo>
                              <a:close/>
                            </a:path>
                          </a:pathLst>
                        </a:cu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4C6DAED2" w14:textId="77777777" w:rsidR="000D5487" w:rsidRPr="00245ACC" w:rsidRDefault="000D5487" w:rsidP="000D5487">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7D6E78BC" w14:textId="04AB9E1D" w:rsidR="000D5487" w:rsidRPr="000D5487" w:rsidRDefault="000D5487" w:rsidP="000D5487">
                            <w:pPr>
                              <w:pStyle w:val="FigureTitles"/>
                              <w:rPr>
                                <w:rStyle w:val="Hyperlink"/>
                                <w:b w:val="0"/>
                                <w:bCs w:val="0"/>
                                <w:sz w:val="16"/>
                                <w:szCs w:val="16"/>
                                <w14:textOutline w14:w="12700" w14:cap="rnd" w14:cmpd="sng" w14:algn="ctr">
                                  <w14:noFill/>
                                  <w14:prstDash w14:val="solid"/>
                                  <w14:bevel/>
                                </w14:textOutline>
                              </w:rPr>
                            </w:pPr>
                            <w:r w:rsidRPr="00214E7F">
                              <w:rPr>
                                <w:b w:val="0"/>
                                <w:bCs w:val="0"/>
                                <w:color w:val="000000" w:themeColor="text1"/>
                                <w:sz w:val="16"/>
                                <w:szCs w:val="16"/>
                                <w14:textOutline w14:w="12700" w14:cap="rnd" w14:cmpd="sng" w14:algn="ctr">
                                  <w14:noFill/>
                                  <w14:prstDash w14:val="solid"/>
                                  <w14:bevel/>
                                </w14:textOutline>
                              </w:rPr>
                              <w:t>Refer</w:t>
                            </w:r>
                            <w:r>
                              <w:rPr>
                                <w:b w:val="0"/>
                                <w:bCs w:val="0"/>
                                <w:color w:val="000000" w:themeColor="text1"/>
                                <w:sz w:val="16"/>
                                <w:szCs w:val="16"/>
                                <w14:textOutline w14:w="12700" w14:cap="rnd" w14:cmpd="sng" w14:algn="ctr">
                                  <w14:noFill/>
                                  <w14:prstDash w14:val="solid"/>
                                  <w14:bevel/>
                                </w14:textOutline>
                              </w:rPr>
                              <w:t xml:space="preserve"> to</w:t>
                            </w:r>
                            <w:r w:rsidRPr="00214E7F">
                              <w:rPr>
                                <w:b w:val="0"/>
                                <w:bCs w:val="0"/>
                                <w:color w:val="000000" w:themeColor="text1"/>
                                <w:sz w:val="16"/>
                                <w:szCs w:val="16"/>
                                <w14:textOutline w14:w="12700" w14:cap="rnd" w14:cmpd="sng" w14:algn="ctr">
                                  <w14:noFill/>
                                  <w14:prstDash w14:val="solid"/>
                                  <w14:bevel/>
                                </w14:textOutline>
                              </w:rPr>
                              <w:t xml:space="preserve"> </w:t>
                            </w:r>
                            <w:r w:rsidRPr="00214E7F">
                              <w:rPr>
                                <w:color w:val="000000" w:themeColor="text1"/>
                                <w:sz w:val="16"/>
                                <w:szCs w:val="16"/>
                                <w14:textOutline w14:w="12700" w14:cap="rnd" w14:cmpd="sng" w14:algn="ctr">
                                  <w14:noFill/>
                                  <w14:prstDash w14:val="solid"/>
                                  <w14:bevel/>
                                </w14:textOutline>
                              </w:rPr>
                              <w:t>Brief #</w:t>
                            </w:r>
                            <w:r>
                              <w:rPr>
                                <w:color w:val="000000" w:themeColor="text1"/>
                                <w:sz w:val="16"/>
                                <w:szCs w:val="16"/>
                                <w14:textOutline w14:w="12700" w14:cap="rnd" w14:cmpd="sng" w14:algn="ctr">
                                  <w14:noFill/>
                                  <w14:prstDash w14:val="solid"/>
                                  <w14:bevel/>
                                </w14:textOutline>
                              </w:rPr>
                              <w:t>7</w:t>
                            </w:r>
                            <w:r>
                              <w:rPr>
                                <w:b w:val="0"/>
                                <w:bCs w:val="0"/>
                                <w:color w:val="000000" w:themeColor="text1"/>
                                <w:sz w:val="16"/>
                                <w:szCs w:val="16"/>
                                <w14:textOutline w14:w="12700" w14:cap="rnd" w14:cmpd="sng" w14:algn="ctr">
                                  <w14:noFill/>
                                  <w14:prstDash w14:val="solid"/>
                                  <w14:bevel/>
                                </w14:textOutline>
                              </w:rPr>
                              <w:t xml:space="preserve">: Digging Deeper Into the Implementation Support Practice Model at the Regional Level and download section </w:t>
                            </w:r>
                            <w:r>
                              <w:rPr>
                                <w:b w:val="0"/>
                                <w:bCs w:val="0"/>
                                <w:color w:val="000000" w:themeColor="text1"/>
                                <w:sz w:val="16"/>
                                <w:szCs w:val="16"/>
                                <w14:textOutline w14:w="12700" w14:cap="rnd" w14:cmpd="sng" w14:algn="ctr">
                                  <w14:noFill/>
                                  <w14:prstDash w14:val="solid"/>
                                  <w14:bevel/>
                                </w14:textOutline>
                              </w:rPr>
                              <w:fldChar w:fldCharType="begin"/>
                            </w:r>
                            <w:r>
                              <w:rPr>
                                <w:b w:val="0"/>
                                <w:bCs w:val="0"/>
                                <w:color w:val="000000" w:themeColor="text1"/>
                                <w:sz w:val="16"/>
                                <w:szCs w:val="16"/>
                                <w14:textOutline w14:w="12700" w14:cap="rnd" w14:cmpd="sng" w14:algn="ctr">
                                  <w14:noFill/>
                                  <w14:prstDash w14:val="solid"/>
                                  <w14:bevel/>
                                </w14:textOutline>
                              </w:rPr>
                              <w:instrText>HYPERLINK "https://ictp.fpg.unc.edu/wp-content/uploads/organizationalsystem-learning-and-improvement-approaches.docx"</w:instrText>
                            </w:r>
                            <w:r>
                              <w:rPr>
                                <w:b w:val="0"/>
                                <w:bCs w:val="0"/>
                                <w:color w:val="000000" w:themeColor="text1"/>
                                <w:sz w:val="16"/>
                                <w:szCs w:val="16"/>
                                <w14:textOutline w14:w="12700" w14:cap="rnd" w14:cmpd="sng" w14:algn="ctr">
                                  <w14:noFill/>
                                  <w14:prstDash w14:val="solid"/>
                                  <w14:bevel/>
                                </w14:textOutline>
                              </w:rPr>
                            </w:r>
                            <w:r>
                              <w:rPr>
                                <w:b w:val="0"/>
                                <w:bCs w:val="0"/>
                                <w:color w:val="000000" w:themeColor="text1"/>
                                <w:sz w:val="16"/>
                                <w:szCs w:val="16"/>
                                <w14:textOutline w14:w="12700" w14:cap="rnd" w14:cmpd="sng" w14:algn="ctr">
                                  <w14:noFill/>
                                  <w14:prstDash w14:val="solid"/>
                                  <w14:bevel/>
                                </w14:textOutline>
                              </w:rPr>
                              <w:fldChar w:fldCharType="separate"/>
                            </w:r>
                            <w:r w:rsidRPr="000D5487">
                              <w:rPr>
                                <w:rStyle w:val="Hyperlink"/>
                                <w:b w:val="0"/>
                                <w:bCs w:val="0"/>
                                <w:sz w:val="16"/>
                                <w:szCs w:val="16"/>
                                <w14:textOutline w14:w="12700" w14:cap="rnd" w14:cmpd="sng" w14:algn="ctr">
                                  <w14:noFill/>
                                  <w14:prstDash w14:val="solid"/>
                                  <w14:bevel/>
                                </w14:textOutline>
                              </w:rPr>
                              <w:t>Organizational/</w:t>
                            </w:r>
                          </w:p>
                          <w:p w14:paraId="26D89C49" w14:textId="5B2E0D39" w:rsidR="000D5487" w:rsidRPr="00214E7F" w:rsidRDefault="000D5487" w:rsidP="000D5487">
                            <w:pPr>
                              <w:pStyle w:val="FigureTitles"/>
                              <w:rPr>
                                <w:b w:val="0"/>
                                <w:bCs w:val="0"/>
                                <w:color w:val="000000" w:themeColor="text1"/>
                                <w:sz w:val="16"/>
                                <w:szCs w:val="16"/>
                                <w14:textOutline w14:w="12700" w14:cap="rnd" w14:cmpd="sng" w14:algn="ctr">
                                  <w14:noFill/>
                                  <w14:prstDash w14:val="solid"/>
                                  <w14:bevel/>
                                </w14:textOutline>
                              </w:rPr>
                            </w:pPr>
                            <w:r w:rsidRPr="000D5487">
                              <w:rPr>
                                <w:rStyle w:val="Hyperlink"/>
                                <w:b w:val="0"/>
                                <w:bCs w:val="0"/>
                                <w:sz w:val="16"/>
                                <w:szCs w:val="16"/>
                                <w14:textOutline w14:w="12700" w14:cap="rnd" w14:cmpd="sng" w14:algn="ctr">
                                  <w14:noFill/>
                                  <w14:prstDash w14:val="solid"/>
                                  <w14:bevel/>
                                </w14:textOutline>
                              </w:rPr>
                              <w:t>System Learning and Improvement Approaches</w:t>
                            </w:r>
                            <w:r>
                              <w:rPr>
                                <w:b w:val="0"/>
                                <w:bCs w:val="0"/>
                                <w:color w:val="000000" w:themeColor="text1"/>
                                <w:sz w:val="16"/>
                                <w:szCs w:val="16"/>
                                <w14:textOutline w14:w="12700" w14:cap="rnd" w14:cmpd="sng" w14:algn="ctr">
                                  <w14:noFill/>
                                  <w14:prstDash w14:val="solid"/>
                                  <w14:bevel/>
                                </w14:textOutline>
                              </w:rPr>
                              <w:fldChar w:fldCharType="end"/>
                            </w:r>
                            <w:r>
                              <w:rPr>
                                <w:b w:val="0"/>
                                <w:bCs w:val="0"/>
                                <w:color w:val="000000" w:themeColor="text1"/>
                                <w:sz w:val="16"/>
                                <w:szCs w:val="16"/>
                                <w14:textOutline w14:w="12700" w14:cap="rnd" w14:cmpd="sng" w14:algn="ctr">
                                  <w14:noFill/>
                                  <w14:prstDash w14:val="solid"/>
                                  <w14:bevel/>
                                </w14:textOutline>
                              </w:rPr>
                              <w:t xml:space="preserve"> (docx) for more information.</w:t>
                            </w:r>
                          </w:p>
                        </w:txbxContent>
                      </wps:txbx>
                      <wps:bodyPr rot="0" spcFirstLastPara="0" vertOverflow="overflow" horzOverflow="overflow" vert="horz" wrap="square" lIns="91440" tIns="91440" rIns="27432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24F2C9" id="_x0000_s1029" alt="Dive Deeper: Refer to brief 2 for more information." style="position:absolute;left:0;text-align:left;margin-left:-5.05pt;margin-top:45.35pt;width:97.2pt;height:193.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3955,14173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" adj="-11796480,,5400" path="m,l986536,r,708660l1163955,708660r,l1163955,708660r,l986536,708660r,708660l,1417320,,xe" filled="f" strokecolor="#20bec7" strokeweight="1pt">
                <v:stroke joinstyle="miter"/>
                <v:formulas/>
                <v:path arrowok="t" o:connecttype="custom" o:connectlocs="0,0;1046153,0;1046153,1230923;1234294,1230923;1234294,1230923;1234294,1230923;1234294,1230923;1046153,1230923;1046153,2461846;0,2461846;0,0" o:connectangles="0,0,0,0,0,0,0,0,0,0,0" textboxrect="0,0,1163955,1417320"/>
                <v:textbox inset=",7.2pt,21.6pt,0">
                  <w:txbxContent>
                    <w:p w14:paraId="4C6DAED2" w14:textId="77777777" w:rsidR="000D5487" w:rsidRPr="00245ACC" w:rsidRDefault="000D5487" w:rsidP="000D5487">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7D6E78BC" w14:textId="04AB9E1D" w:rsidR="000D5487" w:rsidRPr="000D5487" w:rsidRDefault="000D5487" w:rsidP="000D5487">
                      <w:pPr>
                        <w:pStyle w:val="FigureTitles"/>
                        <w:rPr>
                          <w:rStyle w:val="Hyperlink"/>
                          <w:b w:val="0"/>
                          <w:bCs w:val="0"/>
                          <w:sz w:val="16"/>
                          <w:szCs w:val="16"/>
                          <w14:textOutline w14:w="12700" w14:cap="rnd" w14:cmpd="sng" w14:algn="ctr">
                            <w14:noFill/>
                            <w14:prstDash w14:val="solid"/>
                            <w14:bevel/>
                          </w14:textOutline>
                        </w:rPr>
                      </w:pPr>
                      <w:r w:rsidRPr="00214E7F">
                        <w:rPr>
                          <w:b w:val="0"/>
                          <w:bCs w:val="0"/>
                          <w:color w:val="000000" w:themeColor="text1"/>
                          <w:sz w:val="16"/>
                          <w:szCs w:val="16"/>
                          <w14:textOutline w14:w="12700" w14:cap="rnd" w14:cmpd="sng" w14:algn="ctr">
                            <w14:noFill/>
                            <w14:prstDash w14:val="solid"/>
                            <w14:bevel/>
                          </w14:textOutline>
                        </w:rPr>
                        <w:t>Refer</w:t>
                      </w:r>
                      <w:r>
                        <w:rPr>
                          <w:b w:val="0"/>
                          <w:bCs w:val="0"/>
                          <w:color w:val="000000" w:themeColor="text1"/>
                          <w:sz w:val="16"/>
                          <w:szCs w:val="16"/>
                          <w14:textOutline w14:w="12700" w14:cap="rnd" w14:cmpd="sng" w14:algn="ctr">
                            <w14:noFill/>
                            <w14:prstDash w14:val="solid"/>
                            <w14:bevel/>
                          </w14:textOutline>
                        </w:rPr>
                        <w:t xml:space="preserve"> to</w:t>
                      </w:r>
                      <w:r w:rsidRPr="00214E7F">
                        <w:rPr>
                          <w:b w:val="0"/>
                          <w:bCs w:val="0"/>
                          <w:color w:val="000000" w:themeColor="text1"/>
                          <w:sz w:val="16"/>
                          <w:szCs w:val="16"/>
                          <w14:textOutline w14:w="12700" w14:cap="rnd" w14:cmpd="sng" w14:algn="ctr">
                            <w14:noFill/>
                            <w14:prstDash w14:val="solid"/>
                            <w14:bevel/>
                          </w14:textOutline>
                        </w:rPr>
                        <w:t xml:space="preserve"> </w:t>
                      </w:r>
                      <w:r w:rsidRPr="00214E7F">
                        <w:rPr>
                          <w:color w:val="000000" w:themeColor="text1"/>
                          <w:sz w:val="16"/>
                          <w:szCs w:val="16"/>
                          <w14:textOutline w14:w="12700" w14:cap="rnd" w14:cmpd="sng" w14:algn="ctr">
                            <w14:noFill/>
                            <w14:prstDash w14:val="solid"/>
                            <w14:bevel/>
                          </w14:textOutline>
                        </w:rPr>
                        <w:t>Brief #</w:t>
                      </w:r>
                      <w:r>
                        <w:rPr>
                          <w:color w:val="000000" w:themeColor="text1"/>
                          <w:sz w:val="16"/>
                          <w:szCs w:val="16"/>
                          <w14:textOutline w14:w="12700" w14:cap="rnd" w14:cmpd="sng" w14:algn="ctr">
                            <w14:noFill/>
                            <w14:prstDash w14:val="solid"/>
                            <w14:bevel/>
                          </w14:textOutline>
                        </w:rPr>
                        <w:t>7</w:t>
                      </w:r>
                      <w:r>
                        <w:rPr>
                          <w:b w:val="0"/>
                          <w:bCs w:val="0"/>
                          <w:color w:val="000000" w:themeColor="text1"/>
                          <w:sz w:val="16"/>
                          <w:szCs w:val="16"/>
                          <w14:textOutline w14:w="12700" w14:cap="rnd" w14:cmpd="sng" w14:algn="ctr">
                            <w14:noFill/>
                            <w14:prstDash w14:val="solid"/>
                            <w14:bevel/>
                          </w14:textOutline>
                        </w:rPr>
                        <w:t xml:space="preserve">: Digging Deeper Into the Implementation Support Practice Model at the Regional Level and download section </w:t>
                      </w:r>
                      <w:r>
                        <w:rPr>
                          <w:b w:val="0"/>
                          <w:bCs w:val="0"/>
                          <w:color w:val="000000" w:themeColor="text1"/>
                          <w:sz w:val="16"/>
                          <w:szCs w:val="16"/>
                          <w14:textOutline w14:w="12700" w14:cap="rnd" w14:cmpd="sng" w14:algn="ctr">
                            <w14:noFill/>
                            <w14:prstDash w14:val="solid"/>
                            <w14:bevel/>
                          </w14:textOutline>
                        </w:rPr>
                        <w:fldChar w:fldCharType="begin"/>
                      </w:r>
                      <w:r>
                        <w:rPr>
                          <w:b w:val="0"/>
                          <w:bCs w:val="0"/>
                          <w:color w:val="000000" w:themeColor="text1"/>
                          <w:sz w:val="16"/>
                          <w:szCs w:val="16"/>
                          <w14:textOutline w14:w="12700" w14:cap="rnd" w14:cmpd="sng" w14:algn="ctr">
                            <w14:noFill/>
                            <w14:prstDash w14:val="solid"/>
                            <w14:bevel/>
                          </w14:textOutline>
                        </w:rPr>
                        <w:instrText>HYPERLINK "https://ictp.fpg.unc.edu/wp-content/uploads/organizationalsystem-learning-and-improvement-approaches.docx"</w:instrText>
                      </w:r>
                      <w:r>
                        <w:rPr>
                          <w:b w:val="0"/>
                          <w:bCs w:val="0"/>
                          <w:color w:val="000000" w:themeColor="text1"/>
                          <w:sz w:val="16"/>
                          <w:szCs w:val="16"/>
                          <w14:textOutline w14:w="12700" w14:cap="rnd" w14:cmpd="sng" w14:algn="ctr">
                            <w14:noFill/>
                            <w14:prstDash w14:val="solid"/>
                            <w14:bevel/>
                          </w14:textOutline>
                        </w:rPr>
                      </w:r>
                      <w:r>
                        <w:rPr>
                          <w:b w:val="0"/>
                          <w:bCs w:val="0"/>
                          <w:color w:val="000000" w:themeColor="text1"/>
                          <w:sz w:val="16"/>
                          <w:szCs w:val="16"/>
                          <w14:textOutline w14:w="12700" w14:cap="rnd" w14:cmpd="sng" w14:algn="ctr">
                            <w14:noFill/>
                            <w14:prstDash w14:val="solid"/>
                            <w14:bevel/>
                          </w14:textOutline>
                        </w:rPr>
                        <w:fldChar w:fldCharType="separate"/>
                      </w:r>
                      <w:r w:rsidRPr="000D5487">
                        <w:rPr>
                          <w:rStyle w:val="Hyperlink"/>
                          <w:b w:val="0"/>
                          <w:bCs w:val="0"/>
                          <w:sz w:val="16"/>
                          <w:szCs w:val="16"/>
                          <w14:textOutline w14:w="12700" w14:cap="rnd" w14:cmpd="sng" w14:algn="ctr">
                            <w14:noFill/>
                            <w14:prstDash w14:val="solid"/>
                            <w14:bevel/>
                          </w14:textOutline>
                        </w:rPr>
                        <w:t>Organizational/</w:t>
                      </w:r>
                    </w:p>
                    <w:p w14:paraId="26D89C49" w14:textId="5B2E0D39" w:rsidR="000D5487" w:rsidRPr="00214E7F" w:rsidRDefault="000D5487" w:rsidP="000D5487">
                      <w:pPr>
                        <w:pStyle w:val="FigureTitles"/>
                        <w:rPr>
                          <w:b w:val="0"/>
                          <w:bCs w:val="0"/>
                          <w:color w:val="000000" w:themeColor="text1"/>
                          <w:sz w:val="16"/>
                          <w:szCs w:val="16"/>
                          <w14:textOutline w14:w="12700" w14:cap="rnd" w14:cmpd="sng" w14:algn="ctr">
                            <w14:noFill/>
                            <w14:prstDash w14:val="solid"/>
                            <w14:bevel/>
                          </w14:textOutline>
                        </w:rPr>
                      </w:pPr>
                      <w:r w:rsidRPr="000D5487">
                        <w:rPr>
                          <w:rStyle w:val="Hyperlink"/>
                          <w:b w:val="0"/>
                          <w:bCs w:val="0"/>
                          <w:sz w:val="16"/>
                          <w:szCs w:val="16"/>
                          <w14:textOutline w14:w="12700" w14:cap="rnd" w14:cmpd="sng" w14:algn="ctr">
                            <w14:noFill/>
                            <w14:prstDash w14:val="solid"/>
                            <w14:bevel/>
                          </w14:textOutline>
                        </w:rPr>
                        <w:t>System Learning and Improvement Approaches</w:t>
                      </w:r>
                      <w:r>
                        <w:rPr>
                          <w:b w:val="0"/>
                          <w:bCs w:val="0"/>
                          <w:color w:val="000000" w:themeColor="text1"/>
                          <w:sz w:val="16"/>
                          <w:szCs w:val="16"/>
                          <w14:textOutline w14:w="12700" w14:cap="rnd" w14:cmpd="sng" w14:algn="ctr">
                            <w14:noFill/>
                            <w14:prstDash w14:val="solid"/>
                            <w14:bevel/>
                          </w14:textOutline>
                        </w:rPr>
                        <w:fldChar w:fldCharType="end"/>
                      </w:r>
                      <w:r>
                        <w:rPr>
                          <w:b w:val="0"/>
                          <w:bCs w:val="0"/>
                          <w:color w:val="000000" w:themeColor="text1"/>
                          <w:sz w:val="16"/>
                          <w:szCs w:val="16"/>
                          <w14:textOutline w14:w="12700" w14:cap="rnd" w14:cmpd="sng" w14:algn="ctr">
                            <w14:noFill/>
                            <w14:prstDash w14:val="solid"/>
                            <w14:bevel/>
                          </w14:textOutline>
                        </w:rPr>
                        <w:t xml:space="preserve"> (docx) for more information.</w:t>
                      </w:r>
                    </w:p>
                  </w:txbxContent>
                </v:textbox>
              </v:shape>
            </w:pict>
          </mc:Fallback>
        </mc:AlternateContent>
      </w:r>
      <w:r w:rsidR="00974A8E" w:rsidRPr="00D161DA">
        <w:rPr>
          <w:i/>
          <w:iCs/>
        </w:rPr>
        <w:t>Improvement science</w:t>
      </w:r>
      <w:r w:rsidR="00974A8E">
        <w:t xml:space="preserve"> is, like implementation science, an applied science. It “drives innovation, testing in the field, and spread and scale up to generate and disseminate learning about what changes, in which contexts, produce the improvements” in organizations and systems [17]. To integrate improvement science methods more thoroughly within our implementation support practice, we place greater focus on the aim of improving </w:t>
      </w:r>
      <w:r w:rsidR="00974A8E" w:rsidRPr="00A8304A">
        <w:rPr>
          <w:i/>
          <w:iCs/>
        </w:rPr>
        <w:t>implementation performance</w:t>
      </w:r>
      <w:r w:rsidR="00974A8E">
        <w:t xml:space="preserve">—simply put, the quality and impact with which essential implementation </w:t>
      </w:r>
      <w:r w:rsidR="00974A8E" w:rsidRPr="182CB081">
        <w:t>practices are carried out</w:t>
      </w:r>
      <w:r w:rsidR="00974A8E">
        <w:t xml:space="preserve">—across organizations and systems. To do this, we use models, such as the widely used </w:t>
      </w:r>
      <w:r w:rsidR="00974A8E" w:rsidRPr="000D5487">
        <w:rPr>
          <w:shd w:val="clear" w:color="auto" w:fill="D7E5EC" w:themeFill="accent2" w:themeFillTint="33"/>
        </w:rPr>
        <w:t xml:space="preserve">model for improvement </w:t>
      </w:r>
      <w:r w:rsidR="00974A8E">
        <w:fldChar w:fldCharType="begin"/>
      </w:r>
      <w:r w:rsidR="00974A8E">
        <w:instrText xml:space="preserve"> ADDIN EN.CITE &lt;EndNote&gt;&lt;Cite&gt;&lt;Author&gt;Courtlandt&lt;/Author&gt;&lt;Year&gt;2009&lt;/Year&gt;&lt;RecNum&gt;5763&lt;/RecNum&gt;&lt;DisplayText&gt;[26]&lt;/DisplayText&gt;&lt;record&gt;&lt;rec-number&gt;5763&lt;/rec-number&gt;&lt;foreign-keys&gt;&lt;key app="EN" db-id="92tw0sxaredrdoeva2ovde9md0ept0ezp55z" timestamp="1634591359"&gt;5763&lt;/key&gt;&lt;/foreign-keys&gt;&lt;ref-type name="Journal Article"&gt;17&lt;/ref-type&gt;&lt;contributors&gt;&lt;authors&gt;&lt;author&gt;Courtlandt, Cheryl D.&lt;/author&gt;&lt;author&gt;Noonan, Laura&lt;/author&gt;&lt;author&gt;Feld, Leonard G.&lt;/author&gt;&lt;/authors&gt;&lt;/contributors&gt;&lt;titles&gt;&lt;title&gt;Model for Improvement - Part 1: A Framework for Health Care Quality&lt;/title&gt;&lt;secondary-title&gt;Pediatric Clinics of North America&lt;/secondary-title&gt;&lt;/titles&gt;&lt;periodical&gt;&lt;full-title&gt;Pediatric Clinics of North America&lt;/full-title&gt;&lt;/periodical&gt;&lt;pages&gt;757-778&lt;/pages&gt;&lt;volume&gt;56&lt;/volume&gt;&lt;number&gt;4&lt;/number&gt;&lt;keywords&gt;&lt;keyword&gt;Quality Improvement&lt;/keyword&gt;&lt;keyword&gt;PDSA cycle&lt;/keyword&gt;&lt;keyword&gt;Model for improvement&lt;/keyword&gt;&lt;keyword&gt;Healthcare improvement&lt;/keyword&gt;&lt;keyword&gt;Pediatric quality&lt;/keyword&gt;&lt;/keywords&gt;&lt;dates&gt;&lt;year&gt;2009&lt;/year&gt;&lt;pub-dates&gt;&lt;date&gt;2009/08/01/&lt;/date&gt;&lt;/pub-dates&gt;&lt;/dates&gt;&lt;isbn&gt;0031-3955&lt;/isbn&gt;&lt;urls&gt;&lt;related-urls&gt;&lt;url&gt;https://www.sciencedirect.com/science/article/pii/S0031395509000765&lt;/url&gt;&lt;/related-urls&gt;&lt;/urls&gt;&lt;electronic-resource-num&gt;https://doi.org/10.1016/j.pcl.2009.06.002&lt;/electronic-resource-num&gt;&lt;/record&gt;&lt;/Cite&gt;&lt;/EndNote&gt;</w:instrText>
      </w:r>
      <w:r w:rsidR="00974A8E">
        <w:fldChar w:fldCharType="separate"/>
      </w:r>
      <w:r w:rsidR="00974A8E">
        <w:rPr>
          <w:noProof/>
        </w:rPr>
        <w:t>[18]</w:t>
      </w:r>
      <w:r w:rsidR="00974A8E">
        <w:fldChar w:fldCharType="end"/>
      </w:r>
      <w:r w:rsidR="00974A8E">
        <w:t>, and methods, such as small tests of change, that have demonstrated usefulness in driving such changes across organizational and systems settings.</w:t>
      </w:r>
    </w:p>
    <w:p w14:paraId="366CC890" w14:textId="77777777" w:rsidR="00974A8E" w:rsidRDefault="00974A8E" w:rsidP="00974A8E"/>
    <w:p w14:paraId="06570F56" w14:textId="77777777" w:rsidR="00974A8E" w:rsidRDefault="00974A8E" w:rsidP="00974A8E">
      <w:r>
        <w:t>Centering these two aspirations, we look to the future of the ICTP projects with hope for enhanced success, sustainability, and equity of Triple P implementation throughout the Carolinas.</w:t>
      </w:r>
    </w:p>
    <w:p w14:paraId="5946C962" w14:textId="77777777" w:rsidR="002A5798" w:rsidRDefault="002A5798" w:rsidP="002A5798"/>
    <w:p w14:paraId="79EB92A3" w14:textId="6E22B76E" w:rsidR="00065645" w:rsidRDefault="00065645" w:rsidP="00974A8E">
      <w:pPr>
        <w:ind w:left="0"/>
        <w:rPr>
          <w:rFonts w:eastAsia="Libre Baskerville"/>
        </w:rPr>
      </w:pPr>
      <w:r>
        <w:rPr>
          <w:noProof/>
        </w:rPr>
        <mc:AlternateContent>
          <mc:Choice Requires="wps">
            <w:drawing>
              <wp:anchor distT="0" distB="0" distL="114300" distR="114300" simplePos="0" relativeHeight="251659264" behindDoc="0" locked="0" layoutInCell="1" allowOverlap="1" wp14:anchorId="75C37E10" wp14:editId="67C82C76">
                <wp:simplePos x="0" y="0"/>
                <wp:positionH relativeFrom="column">
                  <wp:posOffset>1336040</wp:posOffset>
                </wp:positionH>
                <wp:positionV relativeFrom="paragraph">
                  <wp:posOffset>141409</wp:posOffset>
                </wp:positionV>
                <wp:extent cx="4853354" cy="0"/>
                <wp:effectExtent l="0" t="12700" r="23495" b="12700"/>
                <wp:wrapNone/>
                <wp:docPr id="292778848" name="Straight Connector 3"/>
                <wp:cNvGraphicFramePr/>
                <a:graphic xmlns:a="http://schemas.openxmlformats.org/drawingml/2006/main">
                  <a:graphicData uri="http://schemas.microsoft.com/office/word/2010/wordprocessingShape">
                    <wps:wsp>
                      <wps:cNvCnPr/>
                      <wps:spPr>
                        <a:xfrm>
                          <a:off x="0" y="0"/>
                          <a:ext cx="4853354" cy="0"/>
                        </a:xfrm>
                        <a:prstGeom prst="line">
                          <a:avLst/>
                        </a:prstGeom>
                        <a:ln w="28575">
                          <a:solidFill>
                            <a:srgbClr val="9F39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9f396b" strokeweight="2.25pt" from="105.2pt,11.15pt" to="487.35pt,11.15pt" w14:anchorId="2293B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">
                <v:stroke joinstyle="miter"/>
              </v:line>
            </w:pict>
          </mc:Fallback>
        </mc:AlternateContent>
      </w:r>
    </w:p>
    <w:p w14:paraId="5D6579F7" w14:textId="77777777" w:rsidR="00065645" w:rsidRDefault="00065645" w:rsidP="00065645">
      <w:pPr>
        <w:rPr>
          <w:rFonts w:eastAsia="Libre Baskerville"/>
        </w:rPr>
      </w:pPr>
    </w:p>
    <w:p w14:paraId="1904D139" w14:textId="77777777" w:rsidR="00065645" w:rsidRDefault="00065645" w:rsidP="00065645">
      <w:pPr>
        <w:rPr>
          <w:rFonts w:eastAsia="Libre Baskerville"/>
        </w:rPr>
      </w:pPr>
    </w:p>
    <w:p w14:paraId="0954348D" w14:textId="11C32674" w:rsidR="002F75BB" w:rsidRPr="002C36C2" w:rsidRDefault="002F75BB" w:rsidP="002C36C2">
      <w:pPr>
        <w:pStyle w:val="ReferenceTitle"/>
        <w:ind w:left="0" w:firstLine="0"/>
        <w:rPr>
          <w:rFonts w:eastAsia="Lato"/>
        </w:rPr>
      </w:pPr>
      <w:r w:rsidRPr="00890367">
        <w:t>Key Takeaways:</w:t>
      </w:r>
    </w:p>
    <w:p w14:paraId="2C700B34" w14:textId="77777777" w:rsidR="002F75BB" w:rsidRPr="003526D2" w:rsidRDefault="002F75BB" w:rsidP="002F75BB">
      <w:pPr>
        <w:pStyle w:val="TableBullet"/>
        <w:rPr>
          <w:b/>
        </w:rPr>
      </w:pPr>
      <w:r>
        <w:t>T</w:t>
      </w:r>
      <w:r w:rsidRPr="003526D2">
        <w:t xml:space="preserve">he ICTP projects are grounded in </w:t>
      </w:r>
      <w:r w:rsidRPr="003526D2">
        <w:rPr>
          <w:i/>
          <w:iCs/>
        </w:rPr>
        <w:t>implementation science</w:t>
      </w:r>
      <w:r w:rsidRPr="003526D2">
        <w:t xml:space="preserve">, the study of methods to </w:t>
      </w:r>
      <w:r>
        <w:t>utilize</w:t>
      </w:r>
      <w:r w:rsidRPr="003526D2">
        <w:t xml:space="preserve"> research findings and evidence-based practices to improve the quality and effectiveness of health-related services. This field includes </w:t>
      </w:r>
      <w:r w:rsidRPr="003526D2">
        <w:rPr>
          <w:i/>
          <w:iCs/>
        </w:rPr>
        <w:t>implementation research</w:t>
      </w:r>
      <w:r w:rsidRPr="003526D2">
        <w:t xml:space="preserve">, which focuses on developing and testing </w:t>
      </w:r>
      <w:r>
        <w:t>approaches to</w:t>
      </w:r>
      <w:r w:rsidRPr="003526D2">
        <w:t xml:space="preserve"> apply</w:t>
      </w:r>
      <w:r>
        <w:t>ing</w:t>
      </w:r>
      <w:r w:rsidRPr="003526D2">
        <w:t xml:space="preserve"> effective and generalizable interventions, and </w:t>
      </w:r>
      <w:r w:rsidRPr="003526D2">
        <w:rPr>
          <w:i/>
          <w:iCs/>
        </w:rPr>
        <w:t xml:space="preserve">implementation practice </w:t>
      </w:r>
      <w:r w:rsidRPr="003526D2">
        <w:t>(the primary focus of this compendium), which</w:t>
      </w:r>
      <w:r w:rsidRPr="003526D2">
        <w:rPr>
          <w:i/>
          <w:iCs/>
        </w:rPr>
        <w:t xml:space="preserve"> </w:t>
      </w:r>
      <w:r w:rsidRPr="003526D2">
        <w:t xml:space="preserve">focuses on tailoring and applying those approaches within specific settings to achieve intended outcomes. </w:t>
      </w:r>
    </w:p>
    <w:p w14:paraId="616A9E2F" w14:textId="77777777" w:rsidR="002F75BB" w:rsidRPr="003526D2" w:rsidRDefault="002F75BB" w:rsidP="002F75BB">
      <w:pPr>
        <w:pStyle w:val="TableBullet"/>
      </w:pPr>
      <w:r>
        <w:t xml:space="preserve">By incorporating implementation science and an equity lens to practice work, the ICTP projects address two common reasons service systems face </w:t>
      </w:r>
      <w:r w:rsidRPr="003526D2">
        <w:t xml:space="preserve">challenges </w:t>
      </w:r>
      <w:r>
        <w:t>implementing and scaling-up programs:</w:t>
      </w:r>
      <w:r w:rsidRPr="003526D2">
        <w:t xml:space="preserve"> (1) the tendency, despite their best intentions, to revert to previous </w:t>
      </w:r>
      <w:r>
        <w:t>ways of doing things</w:t>
      </w:r>
      <w:r w:rsidRPr="003526D2">
        <w:t xml:space="preserve">, and (2) racial and other inequities that </w:t>
      </w:r>
      <w:r>
        <w:t>perpetually marginalize</w:t>
      </w:r>
      <w:r w:rsidRPr="003526D2">
        <w:t xml:space="preserve"> </w:t>
      </w:r>
      <w:r>
        <w:t xml:space="preserve">certain </w:t>
      </w:r>
      <w:r w:rsidRPr="003526D2">
        <w:t>community members, families, and practitioners.</w:t>
      </w:r>
      <w:r>
        <w:t xml:space="preserve"> </w:t>
      </w:r>
    </w:p>
    <w:p w14:paraId="5243582D" w14:textId="77777777" w:rsidR="002F75BB" w:rsidRPr="00233E4B" w:rsidRDefault="002F75BB" w:rsidP="002F75BB">
      <w:pPr>
        <w:pStyle w:val="TableBullet"/>
        <w:rPr>
          <w:b/>
        </w:rPr>
      </w:pPr>
      <w:r>
        <w:t>T</w:t>
      </w:r>
      <w:r w:rsidRPr="003526D2">
        <w:t xml:space="preserve">he ICTP projects </w:t>
      </w:r>
      <w:r>
        <w:t>employ</w:t>
      </w:r>
      <w:r w:rsidRPr="003526D2">
        <w:t xml:space="preserve"> </w:t>
      </w:r>
      <w:r w:rsidRPr="00707282">
        <w:t>implementation support practitioners</w:t>
      </w:r>
      <w:r w:rsidRPr="003526D2">
        <w:t xml:space="preserve"> (ISPs) to provide </w:t>
      </w:r>
      <w:r>
        <w:t xml:space="preserve">external implementation </w:t>
      </w:r>
      <w:r w:rsidRPr="003526D2">
        <w:t>support to service systems aimed at influencing change and improvement amo</w:t>
      </w:r>
      <w:r>
        <w:t>ng</w:t>
      </w:r>
      <w:r w:rsidRPr="003526D2">
        <w:t xml:space="preserve"> people, processes, and structures</w:t>
      </w:r>
      <w:r>
        <w:t xml:space="preserve"> within the system</w:t>
      </w:r>
      <w:r w:rsidRPr="003526D2">
        <w:t xml:space="preserve">. ISPs’ work is grounded in the </w:t>
      </w:r>
      <w:r w:rsidRPr="003526D2">
        <w:rPr>
          <w:b/>
        </w:rPr>
        <w:t>ICTP implementation support practice model</w:t>
      </w:r>
      <w:r>
        <w:t xml:space="preserve"> (ICTP practice model, for short)</w:t>
      </w:r>
      <w:r w:rsidRPr="003526D2">
        <w:t xml:space="preserve">. </w:t>
      </w:r>
    </w:p>
    <w:p w14:paraId="7C9A8DC9" w14:textId="6D7145D5" w:rsidR="002F75BB" w:rsidRPr="000A7077" w:rsidRDefault="002F75BB" w:rsidP="002F75BB">
      <w:pPr>
        <w:pStyle w:val="TableBullet"/>
        <w:rPr>
          <w:b/>
        </w:rPr>
      </w:pPr>
      <w:r>
        <w:lastRenderedPageBreak/>
        <w:t xml:space="preserve">The ICTP practice model originated in 2016, when Aldridge and colleagues [11] developed </w:t>
      </w:r>
      <w:r w:rsidRPr="001D4674">
        <w:t>core principles and components</w:t>
      </w:r>
      <w:r>
        <w:t xml:space="preserve"> of effective implementation support, which were then translated into a tailored model of support. The practice model evolved</w:t>
      </w:r>
      <w:r w:rsidRPr="00372D4B">
        <w:t xml:space="preserve"> </w:t>
      </w:r>
      <w:r>
        <w:t xml:space="preserve">over the next five years, with the addition of </w:t>
      </w:r>
      <w:r w:rsidRPr="001D4674">
        <w:t>practice activities</w:t>
      </w:r>
      <w:r>
        <w:rPr>
          <w:i/>
          <w:iCs/>
        </w:rPr>
        <w:t xml:space="preserve"> </w:t>
      </w:r>
      <w:r>
        <w:t xml:space="preserve">as well as the ICTP theory of change for external implementation support (see </w:t>
      </w:r>
      <w:hyperlink r:id="rId15" w:history="1">
        <w:r w:rsidR="000D5487" w:rsidRPr="000D5487">
          <w:rPr>
            <w:rStyle w:val="Hyperlink"/>
            <w:sz w:val="21"/>
          </w:rPr>
          <w:t>B</w:t>
        </w:r>
        <w:r w:rsidRPr="000D5487">
          <w:rPr>
            <w:rStyle w:val="Hyperlink"/>
            <w:sz w:val="21"/>
          </w:rPr>
          <w:t>rief #6</w:t>
        </w:r>
      </w:hyperlink>
      <w:r>
        <w:t xml:space="preserve">). The current version of the ICTP practice model includes 10 </w:t>
      </w:r>
      <w:r w:rsidRPr="001D4674">
        <w:rPr>
          <w:i/>
          <w:iCs/>
        </w:rPr>
        <w:t>core practice components</w:t>
      </w:r>
      <w:r>
        <w:t xml:space="preserve"> nested within eight implementation support </w:t>
      </w:r>
      <w:r w:rsidRPr="001D4674">
        <w:rPr>
          <w:i/>
          <w:iCs/>
        </w:rPr>
        <w:t>practice principles</w:t>
      </w:r>
      <w:r>
        <w:t xml:space="preserve">, further nested within 11 </w:t>
      </w:r>
      <w:r w:rsidRPr="001D4674">
        <w:rPr>
          <w:i/>
          <w:iCs/>
        </w:rPr>
        <w:t>practice values</w:t>
      </w:r>
      <w:r>
        <w:t>.</w:t>
      </w:r>
    </w:p>
    <w:p w14:paraId="503E573F" w14:textId="77777777" w:rsidR="002F75BB" w:rsidRPr="000A7077" w:rsidRDefault="002F75BB" w:rsidP="002F75BB">
      <w:pPr>
        <w:pStyle w:val="TableBullet"/>
        <w:rPr>
          <w:b/>
        </w:rPr>
      </w:pPr>
      <w:r>
        <w:t xml:space="preserve">Additional developments have included a three-tiered model of regional support, enhanced media and networking activities, “design and consultation support” to state and regional partners, </w:t>
      </w:r>
      <w:r w:rsidRPr="00A17EB8">
        <w:t>a more complete set of resources for learning and applying effective implementation practices for Triple P</w:t>
      </w:r>
      <w:r>
        <w:t>, and an improved system for monitoring the quality and outcomes of ICTP implementation support.</w:t>
      </w:r>
    </w:p>
    <w:p w14:paraId="02A5F610" w14:textId="77777777" w:rsidR="002F75BB" w:rsidRDefault="002F75BB" w:rsidP="002F75BB">
      <w:pPr>
        <w:pStyle w:val="TableBullet"/>
      </w:pPr>
      <w:r w:rsidRPr="000A7077">
        <w:t xml:space="preserve">Moving forward, the ICTP projects aim to </w:t>
      </w:r>
      <w:r>
        <w:t xml:space="preserve">further </w:t>
      </w:r>
      <w:r w:rsidRPr="000A7077">
        <w:t xml:space="preserve">emphasize </w:t>
      </w:r>
      <w:r>
        <w:t xml:space="preserve">(1) </w:t>
      </w:r>
      <w:r w:rsidRPr="000A7077">
        <w:t xml:space="preserve">equity and </w:t>
      </w:r>
      <w:r>
        <w:t xml:space="preserve">(2) </w:t>
      </w:r>
      <w:r w:rsidRPr="00372D4B">
        <w:t>improvement science</w:t>
      </w:r>
      <w:r>
        <w:rPr>
          <w:i/>
          <w:iCs/>
        </w:rPr>
        <w:t xml:space="preserve"> </w:t>
      </w:r>
      <w:r>
        <w:t>(</w:t>
      </w:r>
      <w:r w:rsidRPr="00251176">
        <w:t>t</w:t>
      </w:r>
      <w:r>
        <w:t xml:space="preserve">he scientific study of </w:t>
      </w:r>
      <w:r w:rsidRPr="000A7077">
        <w:t xml:space="preserve">improvement </w:t>
      </w:r>
      <w:r>
        <w:t>within systems and organizations) within its implementation support practice.</w:t>
      </w:r>
    </w:p>
    <w:p w14:paraId="00806D7D" w14:textId="77777777" w:rsidR="002F75BB" w:rsidRDefault="002F75BB" w:rsidP="00EF5222">
      <w:pPr>
        <w:pStyle w:val="Heading5"/>
        <w:ind w:hanging="2070"/>
      </w:pPr>
    </w:p>
    <w:p w14:paraId="254B4306" w14:textId="77777777" w:rsidR="002F75BB" w:rsidRDefault="002F75BB" w:rsidP="00EF5222">
      <w:pPr>
        <w:pStyle w:val="Heading5"/>
        <w:ind w:hanging="2070"/>
      </w:pPr>
    </w:p>
    <w:p w14:paraId="4BD6721F" w14:textId="77777777" w:rsidR="002F75BB" w:rsidRDefault="002F75BB" w:rsidP="00EF5222">
      <w:pPr>
        <w:pStyle w:val="Heading5"/>
        <w:ind w:hanging="2070"/>
      </w:pPr>
    </w:p>
    <w:p w14:paraId="68DB3F09" w14:textId="53570137" w:rsidR="00C90063" w:rsidRDefault="00C90063" w:rsidP="00EF5222">
      <w:pPr>
        <w:pStyle w:val="Heading5"/>
        <w:ind w:hanging="2070"/>
      </w:pPr>
      <w:r w:rsidRPr="006807C4">
        <w:t>Reference List</w:t>
      </w:r>
    </w:p>
    <w:p w14:paraId="3E0E397A" w14:textId="77777777" w:rsidR="00C90063" w:rsidRPr="00225FC7" w:rsidRDefault="00C90063" w:rsidP="00C90063">
      <w:pPr>
        <w:rPr>
          <w:rFonts w:asciiTheme="majorHAnsi" w:hAnsiTheme="majorHAnsi" w:cstheme="majorHAnsi"/>
          <w:b/>
          <w:bCs/>
        </w:rPr>
      </w:pPr>
    </w:p>
    <w:p w14:paraId="42BFC4CD" w14:textId="77777777" w:rsidR="00C90063" w:rsidRPr="00C90063" w:rsidRDefault="00C90063" w:rsidP="00C90063">
      <w:pPr>
        <w:pStyle w:val="Footer"/>
      </w:pPr>
      <w:r w:rsidRPr="00C90063">
        <w:t xml:space="preserve">Ramaswamy, R., &amp; Upshaw, V. (2018, January 26). </w:t>
      </w:r>
      <w:r w:rsidRPr="00C90063">
        <w:rPr>
          <w:i/>
          <w:iCs/>
        </w:rPr>
        <w:t>PPP system and components, pre-work for strategic planning retreat.</w:t>
      </w:r>
      <w:r w:rsidRPr="00C90063">
        <w:t xml:space="preserve"> Chapel Hill, NC: </w:t>
      </w:r>
      <w:proofErr w:type="spellStart"/>
      <w:r w:rsidRPr="00C90063">
        <w:t>Gillings</w:t>
      </w:r>
      <w:proofErr w:type="spellEnd"/>
      <w:r w:rsidRPr="00C90063">
        <w:t xml:space="preserve"> School of Global Public Health, University of North Carolina at Chapel Hill. </w:t>
      </w:r>
    </w:p>
    <w:p w14:paraId="51EDD140" w14:textId="77777777" w:rsidR="00C90063" w:rsidRPr="00C90063" w:rsidRDefault="00C90063" w:rsidP="00C90063">
      <w:pPr>
        <w:pStyle w:val="Footer"/>
      </w:pPr>
      <w:proofErr w:type="spellStart"/>
      <w:r w:rsidRPr="00C90063">
        <w:t>Wandersman</w:t>
      </w:r>
      <w:proofErr w:type="spellEnd"/>
      <w:r w:rsidRPr="00C90063">
        <w:t xml:space="preserve">, A., Duffy, J., </w:t>
      </w:r>
      <w:proofErr w:type="spellStart"/>
      <w:r w:rsidRPr="00C90063">
        <w:t>Flaspohler</w:t>
      </w:r>
      <w:proofErr w:type="spellEnd"/>
      <w:r w:rsidRPr="00C90063">
        <w:t xml:space="preserve">, P., Noonan, R., </w:t>
      </w:r>
      <w:proofErr w:type="spellStart"/>
      <w:r w:rsidRPr="00C90063">
        <w:t>Lubell</w:t>
      </w:r>
      <w:proofErr w:type="spellEnd"/>
      <w:r w:rsidRPr="00C90063">
        <w:t xml:space="preserve">, K., Stillman, L., </w:t>
      </w:r>
      <w:proofErr w:type="spellStart"/>
      <w:r w:rsidRPr="00C90063">
        <w:t>Blachman</w:t>
      </w:r>
      <w:proofErr w:type="spellEnd"/>
      <w:r w:rsidRPr="00C90063">
        <w:t xml:space="preserve">, M., </w:t>
      </w:r>
      <w:proofErr w:type="spellStart"/>
      <w:r w:rsidRPr="00C90063">
        <w:t>Dunville</w:t>
      </w:r>
      <w:proofErr w:type="spellEnd"/>
      <w:r w:rsidRPr="00C90063">
        <w:t>, R., &amp; Saul, J. (2008). Bridging the gap between prevention research and practice: The interactive systems framework for dissemination and implementation</w:t>
      </w:r>
      <w:r w:rsidRPr="00C90063">
        <w:rPr>
          <w:i/>
          <w:iCs/>
        </w:rPr>
        <w:t>. American Journal of Community Psychology</w:t>
      </w:r>
      <w:r w:rsidRPr="00C90063">
        <w:t>, </w:t>
      </w:r>
      <w:r w:rsidRPr="00C90063">
        <w:rPr>
          <w:i/>
          <w:iCs/>
        </w:rPr>
        <w:t>41</w:t>
      </w:r>
      <w:r w:rsidRPr="00C90063">
        <w:t xml:space="preserve">(3-4), 171–181. </w:t>
      </w:r>
      <w:hyperlink r:id="rId16" w:history="1">
        <w:r w:rsidRPr="00C90063">
          <w:rPr>
            <w:rStyle w:val="Hyperlink"/>
          </w:rPr>
          <w:t>https://doi.org/10.1007/s10464-008-9174-z</w:t>
        </w:r>
      </w:hyperlink>
      <w:r w:rsidRPr="00C90063">
        <w:t xml:space="preserve"> </w:t>
      </w:r>
    </w:p>
    <w:p w14:paraId="2B8169DB" w14:textId="77777777" w:rsidR="00C90063" w:rsidRPr="00C90063" w:rsidRDefault="00C90063" w:rsidP="00C90063">
      <w:pPr>
        <w:pStyle w:val="Footer"/>
        <w:rPr>
          <w:rStyle w:val="Hyperlink"/>
          <w:color w:val="auto"/>
          <w:sz w:val="20"/>
          <w:u w:val="none"/>
        </w:rPr>
      </w:pPr>
      <w:r w:rsidRPr="00C90063">
        <w:t xml:space="preserve">Prinz, R. J., Sanders, M. R., Shapiro, C. J., Whitaker, D. J., &amp; </w:t>
      </w:r>
      <w:proofErr w:type="spellStart"/>
      <w:r w:rsidRPr="00C90063">
        <w:t>Lutzker</w:t>
      </w:r>
      <w:proofErr w:type="spellEnd"/>
      <w:r w:rsidRPr="00C90063">
        <w:t xml:space="preserve">, J. R. (2009). Population-based prevention of child maltreatment: The U.S. Triple P System Population Trial. </w:t>
      </w:r>
      <w:r w:rsidRPr="00C90063">
        <w:rPr>
          <w:i/>
          <w:iCs/>
        </w:rPr>
        <w:t>Prevention Science</w:t>
      </w:r>
      <w:r w:rsidRPr="00C90063">
        <w:t xml:space="preserve">, </w:t>
      </w:r>
      <w:r w:rsidRPr="00C90063">
        <w:rPr>
          <w:i/>
          <w:iCs/>
        </w:rPr>
        <w:t>10</w:t>
      </w:r>
      <w:r w:rsidRPr="00C90063">
        <w:t xml:space="preserve">(1), 1–12. </w:t>
      </w:r>
      <w:hyperlink r:id="rId17" w:history="1">
        <w:r w:rsidRPr="00C90063">
          <w:rPr>
            <w:rStyle w:val="Hyperlink"/>
            <w:sz w:val="20"/>
          </w:rPr>
          <w:t>https://doi.org/10.1007/s11121-009-0123-3</w:t>
        </w:r>
      </w:hyperlink>
    </w:p>
    <w:p w14:paraId="1EC6B5BA" w14:textId="77777777" w:rsidR="00C90063" w:rsidRPr="00C90063" w:rsidRDefault="00C90063" w:rsidP="00C90063">
      <w:pPr>
        <w:pStyle w:val="Footer"/>
      </w:pPr>
      <w:r w:rsidRPr="00C90063">
        <w:t xml:space="preserve">Prinz, R. J., Sanders, M. R., Shapiro, C. J., Whitaker, D. J., &amp; </w:t>
      </w:r>
      <w:proofErr w:type="spellStart"/>
      <w:r w:rsidRPr="00C90063">
        <w:t>Lutzker</w:t>
      </w:r>
      <w:proofErr w:type="spellEnd"/>
      <w:r w:rsidRPr="00C90063">
        <w:t xml:space="preserve">, J. R. (2016). Addendum to "Population-based prevention of child maltreatment: The U.S. Triple P System Population Trial". </w:t>
      </w:r>
      <w:r w:rsidRPr="00C90063">
        <w:rPr>
          <w:i/>
          <w:iCs/>
        </w:rPr>
        <w:t>Prevention Science, 17</w:t>
      </w:r>
      <w:r w:rsidRPr="00C90063">
        <w:t xml:space="preserve">(3), 410–416. </w:t>
      </w:r>
      <w:hyperlink r:id="rId18" w:history="1">
        <w:r w:rsidRPr="00C90063">
          <w:rPr>
            <w:rStyle w:val="Hyperlink"/>
          </w:rPr>
          <w:t>https://doi.org/10.1007/s11121-016-0631-x</w:t>
        </w:r>
      </w:hyperlink>
    </w:p>
    <w:p w14:paraId="38D1E8A8" w14:textId="77777777" w:rsidR="006F10AD" w:rsidRDefault="00C90063" w:rsidP="006F10AD">
      <w:pPr>
        <w:pStyle w:val="Footer"/>
        <w:rPr>
          <w:rStyle w:val="Hyperlink"/>
          <w:color w:val="auto"/>
          <w:sz w:val="20"/>
          <w:u w:val="none"/>
        </w:rPr>
      </w:pPr>
      <w:proofErr w:type="spellStart"/>
      <w:r w:rsidRPr="00C90063">
        <w:t>Mettrick</w:t>
      </w:r>
      <w:proofErr w:type="spellEnd"/>
      <w:r w:rsidRPr="00C90063">
        <w:t xml:space="preserve">, J., </w:t>
      </w:r>
      <w:proofErr w:type="spellStart"/>
      <w:r w:rsidRPr="00C90063">
        <w:t>Harburger</w:t>
      </w:r>
      <w:proofErr w:type="spellEnd"/>
      <w:r w:rsidRPr="00C90063">
        <w:t xml:space="preserve">, D. S., </w:t>
      </w:r>
      <w:proofErr w:type="spellStart"/>
      <w:r w:rsidRPr="00C90063">
        <w:t>Kanary</w:t>
      </w:r>
      <w:proofErr w:type="spellEnd"/>
      <w:r w:rsidRPr="00C90063">
        <w:t xml:space="preserve">, P. J., Lieman, R. B., &amp; Zabel, M. (2015). Building cross-system implementation centers: A roadmap for state and local child- and family-serving agencies in developing Centers of Excellence (COE). The Institute for Innovation &amp; Implementation, University of Maryland. </w:t>
      </w:r>
      <w:hyperlink r:id="rId19" w:history="1">
        <w:r w:rsidRPr="00C90063">
          <w:rPr>
            <w:rStyle w:val="Hyperlink"/>
            <w:sz w:val="20"/>
          </w:rPr>
          <w:t>http://hdl.handle.net/10713/7379</w:t>
        </w:r>
      </w:hyperlink>
    </w:p>
    <w:p w14:paraId="38D17569" w14:textId="79226D8E" w:rsidR="00475787" w:rsidRPr="006F10AD" w:rsidRDefault="00C90063" w:rsidP="006F10AD">
      <w:pPr>
        <w:pStyle w:val="Footer"/>
        <w:rPr>
          <w:rStyle w:val="Hyperlink"/>
          <w:color w:val="auto"/>
          <w:sz w:val="20"/>
          <w:u w:val="none"/>
        </w:rPr>
      </w:pPr>
      <w:r w:rsidRPr="00C90063">
        <w:t xml:space="preserve">Metz, A., Burke, K., Albers, B., </w:t>
      </w:r>
      <w:proofErr w:type="spellStart"/>
      <w:r w:rsidRPr="00C90063">
        <w:t>Louison</w:t>
      </w:r>
      <w:proofErr w:type="spellEnd"/>
      <w:r w:rsidRPr="00C90063">
        <w:t xml:space="preserve">, L., &amp; Bartley, L. (2020). </w:t>
      </w:r>
      <w:r w:rsidRPr="006F10AD">
        <w:rPr>
          <w:i/>
          <w:iCs/>
        </w:rPr>
        <w:t>A practice guide to supporting implementation.</w:t>
      </w:r>
      <w:r w:rsidRPr="00C90063">
        <w:t xml:space="preserve"> </w:t>
      </w:r>
      <w:hyperlink r:id="rId20" w:history="1">
        <w:r w:rsidRPr="006F10AD">
          <w:rPr>
            <w:rStyle w:val="Hyperlink"/>
            <w:sz w:val="20"/>
          </w:rPr>
          <w:t>ISP Practice Guide-v1-10.27.22.pdf</w:t>
        </w:r>
      </w:hyperlink>
      <w:r w:rsidR="00A50609" w:rsidRPr="006F10AD">
        <w:rPr>
          <w:rStyle w:val="Hyperlink"/>
          <w:color w:val="auto"/>
          <w:sz w:val="20"/>
          <w:u w:val="none"/>
        </w:rPr>
        <w:t>|</w:t>
      </w:r>
    </w:p>
    <w:sectPr w:rsidR="00475787" w:rsidRPr="006F10AD" w:rsidSect="00271F5A">
      <w:headerReference w:type="default" r:id="rId21"/>
      <w:footerReference w:type="default" r:id="rId22"/>
      <w:pgSz w:w="12240" w:h="15840"/>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5D8AD" w14:textId="77777777" w:rsidR="005F24CE" w:rsidRDefault="005F24CE" w:rsidP="005F3829">
      <w:r>
        <w:separator/>
      </w:r>
    </w:p>
  </w:endnote>
  <w:endnote w:type="continuationSeparator" w:id="0">
    <w:p w14:paraId="582C9BC0" w14:textId="77777777" w:rsidR="005F24CE" w:rsidRDefault="005F24CE"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5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ibre Baskerville">
    <w:panose1 w:val="02000000000000000000"/>
    <w:charset w:val="00"/>
    <w:family w:val="auto"/>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10006FF" w:usb1="4000205B" w:usb2="00000010" w:usb3="00000000" w:csb0="0000019F" w:csb1="00000000"/>
  </w:font>
  <w:font w:name="Merriweather">
    <w:panose1 w:val="02000000000000000000"/>
    <w:charset w:val="4D"/>
    <w:family w:val="auto"/>
    <w:pitch w:val="variable"/>
    <w:sig w:usb0="A00002BF" w:usb1="5000207B" w:usb2="00000008"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2893270"/>
      <w:docPartObj>
        <w:docPartGallery w:val="Page Numbers (Top of Page)"/>
        <w:docPartUnique/>
      </w:docPartObj>
    </w:sdtPr>
    <w:sdtContent>
      <w:p w14:paraId="3B948870" w14:textId="4BD60BE4"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974A8E">
          <w:rPr>
            <w:rFonts w:eastAsia="Lato" w:cs="Open Sans"/>
            <w:color w:val="002060"/>
            <w:sz w:val="20"/>
            <w:szCs w:val="20"/>
          </w:rPr>
          <w:t>I</w:t>
        </w:r>
        <w:r w:rsidR="00CC4915" w:rsidRPr="00CC4915">
          <w:rPr>
            <w:rFonts w:eastAsia="Lato" w:cs="Open Sans"/>
            <w:color w:val="002060"/>
            <w:sz w:val="20"/>
            <w:szCs w:val="20"/>
          </w:rPr>
          <w:t>CTP</w:t>
        </w:r>
        <w:r w:rsidR="00974A8E">
          <w:rPr>
            <w:rFonts w:eastAsia="Lato" w:cs="Open Sans"/>
            <w:color w:val="002060"/>
            <w:sz w:val="20"/>
            <w:szCs w:val="20"/>
          </w:rPr>
          <w:t xml:space="preserve"> IMPLEMENTATION</w:t>
        </w:r>
        <w:r w:rsidR="00CC4915" w:rsidRPr="00CC4915">
          <w:rPr>
            <w:rFonts w:eastAsia="Lato" w:cs="Open Sans"/>
            <w:color w:val="002060"/>
            <w:sz w:val="20"/>
            <w:szCs w:val="20"/>
          </w:rPr>
          <w:t xml:space="preserve"> S</w:t>
        </w:r>
        <w:r w:rsidR="00974A8E">
          <w:rPr>
            <w:rFonts w:eastAsia="Lato" w:cs="Open Sans"/>
            <w:color w:val="002060"/>
            <w:sz w:val="20"/>
            <w:szCs w:val="20"/>
          </w:rPr>
          <w:t>UPPORT PRACTICE MODEL</w:t>
        </w:r>
      </w:p>
      <w:p w14:paraId="4C42F2C6" w14:textId="77777777"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90E7B" w14:textId="77777777" w:rsidR="005F24CE" w:rsidRDefault="005F24CE" w:rsidP="005F3829">
      <w:r>
        <w:separator/>
      </w:r>
    </w:p>
  </w:footnote>
  <w:footnote w:type="continuationSeparator" w:id="0">
    <w:p w14:paraId="4B55D23E" w14:textId="77777777" w:rsidR="005F24CE" w:rsidRDefault="005F24CE" w:rsidP="005F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CC16" w14:textId="365F76DE" w:rsidR="00F04547" w:rsidRDefault="00F04547">
    <w:pPr>
      <w:pStyle w:val="Header"/>
    </w:pPr>
    <w:r>
      <w:rPr>
        <w:noProof/>
      </w:rPr>
      <mc:AlternateContent>
        <mc:Choice Requires="wps">
          <w:drawing>
            <wp:anchor distT="0" distB="0" distL="114300" distR="114300" simplePos="0" relativeHeight="251659264" behindDoc="0" locked="0" layoutInCell="1" allowOverlap="1" wp14:anchorId="075FEBEF" wp14:editId="437405D4">
              <wp:simplePos x="0" y="0"/>
              <wp:positionH relativeFrom="column">
                <wp:posOffset>318977</wp:posOffset>
              </wp:positionH>
              <wp:positionV relativeFrom="paragraph">
                <wp:posOffset>-432435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B4845" w14:textId="77777777" w:rsidR="00F04547" w:rsidRDefault="00F04547" w:rsidP="00F04547">
                          <w:pPr>
                            <w:ind w:left="0"/>
                            <w:jc w:val="center"/>
                            <w:rPr>
                              <w:sz w:val="13"/>
                              <w:szCs w:val="13"/>
                            </w:rPr>
                          </w:pPr>
                          <w:r w:rsidRPr="0061580A">
                            <w:rPr>
                              <w:sz w:val="13"/>
                              <w:szCs w:val="13"/>
                            </w:rPr>
                            <w:t>BRIEF</w:t>
                          </w:r>
                        </w:p>
                        <w:p w14:paraId="1D804893" w14:textId="71C5800E" w:rsidR="00F04547" w:rsidRDefault="00F04547" w:rsidP="00F04547">
                          <w:pPr>
                            <w:ind w:left="0"/>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FEBEF" id="Rectangle 1" o:spid="_x0000_s1030" style="position:absolute;left:0;text-align:left;margin-left:25.1pt;margin-top:-34.05pt;width:40.05pt;height:3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" fillcolor="#384975" stroked="f" strokeweight="1pt">
              <v:textbox>
                <w:txbxContent>
                  <w:p w14:paraId="3E2B4845" w14:textId="77777777" w:rsidR="00F04547" w:rsidRDefault="00F04547" w:rsidP="00F04547">
                    <w:pPr>
                      <w:ind w:left="0"/>
                      <w:jc w:val="center"/>
                      <w:rPr>
                        <w:sz w:val="13"/>
                        <w:szCs w:val="13"/>
                      </w:rPr>
                    </w:pPr>
                    <w:r w:rsidRPr="0061580A">
                      <w:rPr>
                        <w:sz w:val="13"/>
                        <w:szCs w:val="13"/>
                      </w:rPr>
                      <w:t>BRIEF</w:t>
                    </w:r>
                  </w:p>
                  <w:p w14:paraId="1D804893" w14:textId="71C5800E" w:rsidR="00F04547" w:rsidRDefault="00F04547" w:rsidP="00F04547">
                    <w:pPr>
                      <w:ind w:left="0"/>
                      <w:jc w:val="center"/>
                    </w:pPr>
                    <w:r>
                      <w:t>4</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D802DD"/>
    <w:multiLevelType w:val="hybridMultilevel"/>
    <w:tmpl w:val="EB1C1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2966B4"/>
    <w:multiLevelType w:val="multilevel"/>
    <w:tmpl w:val="93D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2629E"/>
    <w:multiLevelType w:val="hybridMultilevel"/>
    <w:tmpl w:val="19A664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3E460D"/>
    <w:multiLevelType w:val="multilevel"/>
    <w:tmpl w:val="50D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C7362E"/>
    <w:multiLevelType w:val="hybridMultilevel"/>
    <w:tmpl w:val="078A913A"/>
    <w:lvl w:ilvl="0" w:tplc="F108703C">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D5903"/>
    <w:multiLevelType w:val="hybridMultilevel"/>
    <w:tmpl w:val="31784A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7261F"/>
    <w:multiLevelType w:val="multilevel"/>
    <w:tmpl w:val="68C270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9FE13D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96FF5"/>
    <w:multiLevelType w:val="hybridMultilevel"/>
    <w:tmpl w:val="93E43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A68A3"/>
    <w:multiLevelType w:val="multilevel"/>
    <w:tmpl w:val="0B3A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FE5E75"/>
    <w:multiLevelType w:val="multilevel"/>
    <w:tmpl w:val="8E98E64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265D4A"/>
    <w:multiLevelType w:val="hybridMultilevel"/>
    <w:tmpl w:val="477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245838"/>
    <w:multiLevelType w:val="multilevel"/>
    <w:tmpl w:val="62826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F75611"/>
    <w:multiLevelType w:val="hybridMultilevel"/>
    <w:tmpl w:val="458C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5972CB"/>
    <w:multiLevelType w:val="multilevel"/>
    <w:tmpl w:val="714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6352C3"/>
    <w:multiLevelType w:val="hybridMultilevel"/>
    <w:tmpl w:val="8662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720DAF"/>
    <w:multiLevelType w:val="multilevel"/>
    <w:tmpl w:val="533C8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2F3AE8"/>
    <w:multiLevelType w:val="hybridMultilevel"/>
    <w:tmpl w:val="13F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110243"/>
    <w:multiLevelType w:val="hybridMultilevel"/>
    <w:tmpl w:val="D3563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EE1D85"/>
    <w:multiLevelType w:val="hybridMultilevel"/>
    <w:tmpl w:val="773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E7150"/>
    <w:multiLevelType w:val="hybridMultilevel"/>
    <w:tmpl w:val="DA5A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14C8E"/>
    <w:multiLevelType w:val="hybridMultilevel"/>
    <w:tmpl w:val="A5564B3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D046A8"/>
    <w:multiLevelType w:val="multilevel"/>
    <w:tmpl w:val="98244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83451E3"/>
    <w:multiLevelType w:val="hybridMultilevel"/>
    <w:tmpl w:val="31BA33A2"/>
    <w:lvl w:ilvl="0" w:tplc="499E846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03462E"/>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4D52FA"/>
    <w:multiLevelType w:val="hybridMultilevel"/>
    <w:tmpl w:val="029A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2957B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C057E8"/>
    <w:multiLevelType w:val="multilevel"/>
    <w:tmpl w:val="38BE263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4D6706"/>
    <w:multiLevelType w:val="hybridMultilevel"/>
    <w:tmpl w:val="27381988"/>
    <w:lvl w:ilvl="0" w:tplc="E3283B28">
      <w:start w:val="1"/>
      <w:numFmt w:val="bullet"/>
      <w:lvlText w:val="·"/>
      <w:lvlJc w:val="left"/>
      <w:pPr>
        <w:ind w:left="720" w:hanging="360"/>
      </w:pPr>
      <w:rPr>
        <w:rFonts w:ascii="Symbol" w:hAnsi="Symbol" w:hint="default"/>
      </w:rPr>
    </w:lvl>
    <w:lvl w:ilvl="1" w:tplc="CD969F52">
      <w:start w:val="1"/>
      <w:numFmt w:val="bullet"/>
      <w:lvlText w:val="o"/>
      <w:lvlJc w:val="left"/>
      <w:pPr>
        <w:ind w:left="1440" w:hanging="360"/>
      </w:pPr>
      <w:rPr>
        <w:rFonts w:ascii="&quot;Courier New&quot;" w:hAnsi="&quot;Courier New&quot;" w:hint="default"/>
      </w:rPr>
    </w:lvl>
    <w:lvl w:ilvl="2" w:tplc="ABF673BC">
      <w:start w:val="1"/>
      <w:numFmt w:val="bullet"/>
      <w:lvlText w:val="§"/>
      <w:lvlJc w:val="left"/>
      <w:pPr>
        <w:ind w:left="2160" w:hanging="360"/>
      </w:pPr>
      <w:rPr>
        <w:rFonts w:ascii="Wingdings" w:hAnsi="Wingdings" w:hint="default"/>
      </w:rPr>
    </w:lvl>
    <w:lvl w:ilvl="3" w:tplc="74DA6AFC">
      <w:start w:val="1"/>
      <w:numFmt w:val="bullet"/>
      <w:lvlText w:val=""/>
      <w:lvlJc w:val="left"/>
      <w:pPr>
        <w:ind w:left="2880" w:hanging="360"/>
      </w:pPr>
      <w:rPr>
        <w:rFonts w:ascii="Symbol" w:hAnsi="Symbol" w:hint="default"/>
      </w:rPr>
    </w:lvl>
    <w:lvl w:ilvl="4" w:tplc="D4D45962">
      <w:start w:val="1"/>
      <w:numFmt w:val="bullet"/>
      <w:lvlText w:val="o"/>
      <w:lvlJc w:val="left"/>
      <w:pPr>
        <w:ind w:left="3600" w:hanging="360"/>
      </w:pPr>
      <w:rPr>
        <w:rFonts w:ascii="Courier New" w:hAnsi="Courier New" w:hint="default"/>
      </w:rPr>
    </w:lvl>
    <w:lvl w:ilvl="5" w:tplc="6866ABA6">
      <w:start w:val="1"/>
      <w:numFmt w:val="bullet"/>
      <w:lvlText w:val=""/>
      <w:lvlJc w:val="left"/>
      <w:pPr>
        <w:ind w:left="4320" w:hanging="360"/>
      </w:pPr>
      <w:rPr>
        <w:rFonts w:ascii="Wingdings" w:hAnsi="Wingdings" w:hint="default"/>
      </w:rPr>
    </w:lvl>
    <w:lvl w:ilvl="6" w:tplc="828CB992">
      <w:start w:val="1"/>
      <w:numFmt w:val="bullet"/>
      <w:lvlText w:val=""/>
      <w:lvlJc w:val="left"/>
      <w:pPr>
        <w:ind w:left="5040" w:hanging="360"/>
      </w:pPr>
      <w:rPr>
        <w:rFonts w:ascii="Symbol" w:hAnsi="Symbol" w:hint="default"/>
      </w:rPr>
    </w:lvl>
    <w:lvl w:ilvl="7" w:tplc="A1CEE600">
      <w:start w:val="1"/>
      <w:numFmt w:val="bullet"/>
      <w:lvlText w:val="o"/>
      <w:lvlJc w:val="left"/>
      <w:pPr>
        <w:ind w:left="5760" w:hanging="360"/>
      </w:pPr>
      <w:rPr>
        <w:rFonts w:ascii="Courier New" w:hAnsi="Courier New" w:hint="default"/>
      </w:rPr>
    </w:lvl>
    <w:lvl w:ilvl="8" w:tplc="453801A6">
      <w:start w:val="1"/>
      <w:numFmt w:val="bullet"/>
      <w:lvlText w:val=""/>
      <w:lvlJc w:val="left"/>
      <w:pPr>
        <w:ind w:left="6480" w:hanging="360"/>
      </w:pPr>
      <w:rPr>
        <w:rFonts w:ascii="Wingdings" w:hAnsi="Wingdings" w:hint="default"/>
      </w:rPr>
    </w:lvl>
  </w:abstractNum>
  <w:abstractNum w:abstractNumId="36" w15:restartNumberingAfterBreak="0">
    <w:nsid w:val="3D6F0626"/>
    <w:multiLevelType w:val="hybridMultilevel"/>
    <w:tmpl w:val="2FA897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BC2C41"/>
    <w:multiLevelType w:val="multilevel"/>
    <w:tmpl w:val="F0F2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2A04752"/>
    <w:multiLevelType w:val="hybridMultilevel"/>
    <w:tmpl w:val="A27E5424"/>
    <w:lvl w:ilvl="0" w:tplc="0A363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001142"/>
    <w:multiLevelType w:val="hybridMultilevel"/>
    <w:tmpl w:val="66A8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903590"/>
    <w:multiLevelType w:val="hybridMultilevel"/>
    <w:tmpl w:val="163A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0E10ED"/>
    <w:multiLevelType w:val="multilevel"/>
    <w:tmpl w:val="FFF8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41F0B9B"/>
    <w:multiLevelType w:val="multilevel"/>
    <w:tmpl w:val="B40CB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7304ED8"/>
    <w:multiLevelType w:val="hybridMultilevel"/>
    <w:tmpl w:val="763C371E"/>
    <w:lvl w:ilvl="0" w:tplc="C0F61D78">
      <w:start w:val="1"/>
      <w:numFmt w:val="decimal"/>
      <w:pStyle w:val="Foo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836CB7"/>
    <w:multiLevelType w:val="hybridMultilevel"/>
    <w:tmpl w:val="F82676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FF482C"/>
    <w:multiLevelType w:val="multilevel"/>
    <w:tmpl w:val="F9A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2C79BE"/>
    <w:multiLevelType w:val="multilevel"/>
    <w:tmpl w:val="99A4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8515F8D"/>
    <w:multiLevelType w:val="multilevel"/>
    <w:tmpl w:val="E340A8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93B680B"/>
    <w:multiLevelType w:val="hybridMultilevel"/>
    <w:tmpl w:val="5790B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BF2A5A"/>
    <w:multiLevelType w:val="multilevel"/>
    <w:tmpl w:val="E294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302D14"/>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906D5B"/>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C66D4D"/>
    <w:multiLevelType w:val="hybridMultilevel"/>
    <w:tmpl w:val="E976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0711E1E"/>
    <w:multiLevelType w:val="hybridMultilevel"/>
    <w:tmpl w:val="19B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AA34AF"/>
    <w:multiLevelType w:val="multilevel"/>
    <w:tmpl w:val="A322F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13D3A6D"/>
    <w:multiLevelType w:val="multilevel"/>
    <w:tmpl w:val="5148C1BA"/>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57"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5FA79FE"/>
    <w:multiLevelType w:val="hybridMultilevel"/>
    <w:tmpl w:val="9EFC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660FC6"/>
    <w:multiLevelType w:val="hybridMultilevel"/>
    <w:tmpl w:val="9C584B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5E6DE1"/>
    <w:multiLevelType w:val="hybridMultilevel"/>
    <w:tmpl w:val="D19A8C22"/>
    <w:lvl w:ilvl="0" w:tplc="6A36F532">
      <w:start w:val="1"/>
      <w:numFmt w:val="bullet"/>
      <w:pStyle w:val="Table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82A252E"/>
    <w:multiLevelType w:val="hybridMultilevel"/>
    <w:tmpl w:val="24308D7E"/>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C038BF"/>
    <w:multiLevelType w:val="hybridMultilevel"/>
    <w:tmpl w:val="63A8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947C04"/>
    <w:multiLevelType w:val="multilevel"/>
    <w:tmpl w:val="EF2059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F6D587C"/>
    <w:multiLevelType w:val="hybridMultilevel"/>
    <w:tmpl w:val="D056EBC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num w:numId="1" w16cid:durableId="509875473">
    <w:abstractNumId w:val="1"/>
  </w:num>
  <w:num w:numId="2" w16cid:durableId="1274092904">
    <w:abstractNumId w:val="1"/>
    <w:lvlOverride w:ilvl="0">
      <w:startOverride w:val="1"/>
    </w:lvlOverride>
  </w:num>
  <w:num w:numId="3" w16cid:durableId="254943772">
    <w:abstractNumId w:val="21"/>
  </w:num>
  <w:num w:numId="4" w16cid:durableId="1643997132">
    <w:abstractNumId w:val="0"/>
  </w:num>
  <w:num w:numId="5" w16cid:durableId="1427731844">
    <w:abstractNumId w:val="61"/>
  </w:num>
  <w:num w:numId="6" w16cid:durableId="746877472">
    <w:abstractNumId w:val="60"/>
  </w:num>
  <w:num w:numId="7" w16cid:durableId="1786773656">
    <w:abstractNumId w:val="8"/>
  </w:num>
  <w:num w:numId="8" w16cid:durableId="1897007784">
    <w:abstractNumId w:val="33"/>
  </w:num>
  <w:num w:numId="9" w16cid:durableId="225532596">
    <w:abstractNumId w:val="6"/>
  </w:num>
  <w:num w:numId="10" w16cid:durableId="1015109364">
    <w:abstractNumId w:val="30"/>
  </w:num>
  <w:num w:numId="11" w16cid:durableId="455635238">
    <w:abstractNumId w:val="39"/>
  </w:num>
  <w:num w:numId="12" w16cid:durableId="1306620319">
    <w:abstractNumId w:val="52"/>
  </w:num>
  <w:num w:numId="13" w16cid:durableId="869532227">
    <w:abstractNumId w:val="58"/>
  </w:num>
  <w:num w:numId="14" w16cid:durableId="92555518">
    <w:abstractNumId w:val="53"/>
  </w:num>
  <w:num w:numId="15" w16cid:durableId="367069993">
    <w:abstractNumId w:val="28"/>
  </w:num>
  <w:num w:numId="16" w16cid:durableId="723454207">
    <w:abstractNumId w:val="11"/>
  </w:num>
  <w:num w:numId="17" w16cid:durableId="753743320">
    <w:abstractNumId w:val="51"/>
  </w:num>
  <w:num w:numId="18" w16cid:durableId="654845919">
    <w:abstractNumId w:val="49"/>
  </w:num>
  <w:num w:numId="19" w16cid:durableId="637421270">
    <w:abstractNumId w:val="46"/>
  </w:num>
  <w:num w:numId="20" w16cid:durableId="1093360072">
    <w:abstractNumId w:val="50"/>
  </w:num>
  <w:num w:numId="21" w16cid:durableId="105000690">
    <w:abstractNumId w:val="14"/>
  </w:num>
  <w:num w:numId="22" w16cid:durableId="751973327">
    <w:abstractNumId w:val="7"/>
  </w:num>
  <w:num w:numId="23" w16cid:durableId="1507089947">
    <w:abstractNumId w:val="19"/>
  </w:num>
  <w:num w:numId="24" w16cid:durableId="2144732420">
    <w:abstractNumId w:val="15"/>
  </w:num>
  <w:num w:numId="25" w16cid:durableId="400904157">
    <w:abstractNumId w:val="5"/>
  </w:num>
  <w:num w:numId="26" w16cid:durableId="467403196">
    <w:abstractNumId w:val="36"/>
  </w:num>
  <w:num w:numId="27" w16cid:durableId="915362102">
    <w:abstractNumId w:val="9"/>
  </w:num>
  <w:num w:numId="28" w16cid:durableId="1576084713">
    <w:abstractNumId w:val="45"/>
  </w:num>
  <w:num w:numId="29" w16cid:durableId="1127285350">
    <w:abstractNumId w:val="59"/>
  </w:num>
  <w:num w:numId="30" w16cid:durableId="791752577">
    <w:abstractNumId w:val="31"/>
  </w:num>
  <w:num w:numId="31" w16cid:durableId="1121532902">
    <w:abstractNumId w:val="66"/>
  </w:num>
  <w:num w:numId="32" w16cid:durableId="585773582">
    <w:abstractNumId w:val="40"/>
  </w:num>
  <w:num w:numId="33" w16cid:durableId="526529685">
    <w:abstractNumId w:val="16"/>
  </w:num>
  <w:num w:numId="34" w16cid:durableId="1573924017">
    <w:abstractNumId w:val="26"/>
  </w:num>
  <w:num w:numId="35" w16cid:durableId="1061559268">
    <w:abstractNumId w:val="4"/>
  </w:num>
  <w:num w:numId="36" w16cid:durableId="722220672">
    <w:abstractNumId w:val="23"/>
  </w:num>
  <w:num w:numId="37" w16cid:durableId="2015648837">
    <w:abstractNumId w:val="26"/>
    <w:lvlOverride w:ilvl="0">
      <w:startOverride w:val="1"/>
    </w:lvlOverride>
  </w:num>
  <w:num w:numId="38" w16cid:durableId="189992886">
    <w:abstractNumId w:val="47"/>
  </w:num>
  <w:num w:numId="39" w16cid:durableId="798257106">
    <w:abstractNumId w:val="22"/>
  </w:num>
  <w:num w:numId="40" w16cid:durableId="1458796170">
    <w:abstractNumId w:val="55"/>
  </w:num>
  <w:num w:numId="41" w16cid:durableId="985429762">
    <w:abstractNumId w:val="54"/>
  </w:num>
  <w:num w:numId="42" w16cid:durableId="592477942">
    <w:abstractNumId w:val="2"/>
  </w:num>
  <w:num w:numId="43" w16cid:durableId="664670678">
    <w:abstractNumId w:val="64"/>
  </w:num>
  <w:num w:numId="44" w16cid:durableId="442841348">
    <w:abstractNumId w:val="57"/>
  </w:num>
  <w:num w:numId="45" w16cid:durableId="1821575096">
    <w:abstractNumId w:val="3"/>
  </w:num>
  <w:num w:numId="46" w16cid:durableId="1795828116">
    <w:abstractNumId w:val="65"/>
  </w:num>
  <w:num w:numId="47" w16cid:durableId="900210034">
    <w:abstractNumId w:val="42"/>
  </w:num>
  <w:num w:numId="48" w16cid:durableId="635456117">
    <w:abstractNumId w:val="20"/>
  </w:num>
  <w:num w:numId="49" w16cid:durableId="1204827950">
    <w:abstractNumId w:val="17"/>
  </w:num>
  <w:num w:numId="50" w16cid:durableId="1469664098">
    <w:abstractNumId w:val="10"/>
  </w:num>
  <w:num w:numId="51" w16cid:durableId="1111512196">
    <w:abstractNumId w:val="34"/>
  </w:num>
  <w:num w:numId="52" w16cid:durableId="1970235500">
    <w:abstractNumId w:val="48"/>
  </w:num>
  <w:num w:numId="53" w16cid:durableId="482432313">
    <w:abstractNumId w:val="25"/>
  </w:num>
  <w:num w:numId="54" w16cid:durableId="746536776">
    <w:abstractNumId w:val="13"/>
  </w:num>
  <w:num w:numId="55" w16cid:durableId="1379548821">
    <w:abstractNumId w:val="35"/>
  </w:num>
  <w:num w:numId="56" w16cid:durableId="2066098348">
    <w:abstractNumId w:val="41"/>
  </w:num>
  <w:num w:numId="57" w16cid:durableId="36009232">
    <w:abstractNumId w:val="32"/>
  </w:num>
  <w:num w:numId="58" w16cid:durableId="1470200739">
    <w:abstractNumId w:val="43"/>
  </w:num>
  <w:num w:numId="59" w16cid:durableId="1884554176">
    <w:abstractNumId w:val="56"/>
  </w:num>
  <w:num w:numId="60" w16cid:durableId="549923271">
    <w:abstractNumId w:val="38"/>
  </w:num>
  <w:num w:numId="61" w16cid:durableId="1968124216">
    <w:abstractNumId w:val="29"/>
  </w:num>
  <w:num w:numId="62" w16cid:durableId="2030139300">
    <w:abstractNumId w:val="18"/>
  </w:num>
  <w:num w:numId="63" w16cid:durableId="1473205752">
    <w:abstractNumId w:val="44"/>
  </w:num>
  <w:num w:numId="64" w16cid:durableId="2119593424">
    <w:abstractNumId w:val="12"/>
  </w:num>
  <w:num w:numId="65" w16cid:durableId="337579032">
    <w:abstractNumId w:val="63"/>
  </w:num>
  <w:num w:numId="66" w16cid:durableId="147406902">
    <w:abstractNumId w:val="24"/>
  </w:num>
  <w:num w:numId="67" w16cid:durableId="409929883">
    <w:abstractNumId w:val="37"/>
  </w:num>
  <w:num w:numId="68" w16cid:durableId="689374353">
    <w:abstractNumId w:val="62"/>
  </w:num>
  <w:num w:numId="69" w16cid:durableId="20141438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CAE"/>
    <w:rsid w:val="0000345F"/>
    <w:rsid w:val="00021BA9"/>
    <w:rsid w:val="00024A9D"/>
    <w:rsid w:val="000311D0"/>
    <w:rsid w:val="00035F7D"/>
    <w:rsid w:val="00041161"/>
    <w:rsid w:val="00065645"/>
    <w:rsid w:val="00071496"/>
    <w:rsid w:val="00077C9B"/>
    <w:rsid w:val="00081BE1"/>
    <w:rsid w:val="00086FED"/>
    <w:rsid w:val="00091485"/>
    <w:rsid w:val="000935D4"/>
    <w:rsid w:val="000A0D7C"/>
    <w:rsid w:val="000A490B"/>
    <w:rsid w:val="000A65A5"/>
    <w:rsid w:val="000A6C7A"/>
    <w:rsid w:val="000B5263"/>
    <w:rsid w:val="000D15CF"/>
    <w:rsid w:val="000D1724"/>
    <w:rsid w:val="000D5487"/>
    <w:rsid w:val="000F791B"/>
    <w:rsid w:val="00103DF4"/>
    <w:rsid w:val="00110010"/>
    <w:rsid w:val="00137C2C"/>
    <w:rsid w:val="00140E60"/>
    <w:rsid w:val="00156841"/>
    <w:rsid w:val="00160348"/>
    <w:rsid w:val="00186EA4"/>
    <w:rsid w:val="00191650"/>
    <w:rsid w:val="001A122C"/>
    <w:rsid w:val="001B3110"/>
    <w:rsid w:val="001C5AC8"/>
    <w:rsid w:val="001C692F"/>
    <w:rsid w:val="001D173E"/>
    <w:rsid w:val="00214BDF"/>
    <w:rsid w:val="00214E7F"/>
    <w:rsid w:val="00245ACC"/>
    <w:rsid w:val="00265F66"/>
    <w:rsid w:val="00271F5A"/>
    <w:rsid w:val="002938A9"/>
    <w:rsid w:val="00297814"/>
    <w:rsid w:val="002A5798"/>
    <w:rsid w:val="002A7CD7"/>
    <w:rsid w:val="002A7D42"/>
    <w:rsid w:val="002B5CCA"/>
    <w:rsid w:val="002C36C2"/>
    <w:rsid w:val="002E0546"/>
    <w:rsid w:val="002E6E87"/>
    <w:rsid w:val="002F02AE"/>
    <w:rsid w:val="002F3C1D"/>
    <w:rsid w:val="002F75BB"/>
    <w:rsid w:val="0033373A"/>
    <w:rsid w:val="0034610F"/>
    <w:rsid w:val="003562E9"/>
    <w:rsid w:val="00362DA3"/>
    <w:rsid w:val="00390120"/>
    <w:rsid w:val="003D45D3"/>
    <w:rsid w:val="003D5CEB"/>
    <w:rsid w:val="00400456"/>
    <w:rsid w:val="00416C37"/>
    <w:rsid w:val="00424CE1"/>
    <w:rsid w:val="00437681"/>
    <w:rsid w:val="00443169"/>
    <w:rsid w:val="00450663"/>
    <w:rsid w:val="004515BC"/>
    <w:rsid w:val="0045167A"/>
    <w:rsid w:val="0047287D"/>
    <w:rsid w:val="00473E69"/>
    <w:rsid w:val="00475787"/>
    <w:rsid w:val="004836BB"/>
    <w:rsid w:val="0048504D"/>
    <w:rsid w:val="00495E90"/>
    <w:rsid w:val="004974C5"/>
    <w:rsid w:val="004A20EF"/>
    <w:rsid w:val="004C7BC2"/>
    <w:rsid w:val="004E3CDE"/>
    <w:rsid w:val="004E50F5"/>
    <w:rsid w:val="004F1E39"/>
    <w:rsid w:val="004F3458"/>
    <w:rsid w:val="004F4BE3"/>
    <w:rsid w:val="005041CD"/>
    <w:rsid w:val="00510884"/>
    <w:rsid w:val="00536F5E"/>
    <w:rsid w:val="00550E57"/>
    <w:rsid w:val="00562892"/>
    <w:rsid w:val="005655C2"/>
    <w:rsid w:val="00570D30"/>
    <w:rsid w:val="00577AA7"/>
    <w:rsid w:val="00581CE4"/>
    <w:rsid w:val="0059188E"/>
    <w:rsid w:val="00594461"/>
    <w:rsid w:val="005B308E"/>
    <w:rsid w:val="005B3C1A"/>
    <w:rsid w:val="005C3FB7"/>
    <w:rsid w:val="005C6370"/>
    <w:rsid w:val="005C676B"/>
    <w:rsid w:val="005D102B"/>
    <w:rsid w:val="005F00FA"/>
    <w:rsid w:val="005F24CE"/>
    <w:rsid w:val="005F3829"/>
    <w:rsid w:val="006045B9"/>
    <w:rsid w:val="006057C3"/>
    <w:rsid w:val="00623929"/>
    <w:rsid w:val="0066240F"/>
    <w:rsid w:val="006707EF"/>
    <w:rsid w:val="00675E63"/>
    <w:rsid w:val="0069437E"/>
    <w:rsid w:val="00695E8D"/>
    <w:rsid w:val="006A5B3F"/>
    <w:rsid w:val="006A6FAD"/>
    <w:rsid w:val="006B2C82"/>
    <w:rsid w:val="006D39A7"/>
    <w:rsid w:val="006D3D88"/>
    <w:rsid w:val="006E0CC1"/>
    <w:rsid w:val="006F10AD"/>
    <w:rsid w:val="006F2507"/>
    <w:rsid w:val="006F5DDB"/>
    <w:rsid w:val="00713065"/>
    <w:rsid w:val="0071347A"/>
    <w:rsid w:val="00726376"/>
    <w:rsid w:val="00726CAE"/>
    <w:rsid w:val="007309A6"/>
    <w:rsid w:val="00745E42"/>
    <w:rsid w:val="0076361D"/>
    <w:rsid w:val="007658C6"/>
    <w:rsid w:val="00772A8A"/>
    <w:rsid w:val="00781718"/>
    <w:rsid w:val="007B02FD"/>
    <w:rsid w:val="007B396D"/>
    <w:rsid w:val="007B7349"/>
    <w:rsid w:val="00851604"/>
    <w:rsid w:val="00856661"/>
    <w:rsid w:val="00896732"/>
    <w:rsid w:val="008A0824"/>
    <w:rsid w:val="008C29B5"/>
    <w:rsid w:val="008E43E7"/>
    <w:rsid w:val="008F12BB"/>
    <w:rsid w:val="008F52B4"/>
    <w:rsid w:val="0090628E"/>
    <w:rsid w:val="009112D9"/>
    <w:rsid w:val="00924435"/>
    <w:rsid w:val="00940359"/>
    <w:rsid w:val="00940BB8"/>
    <w:rsid w:val="00963B1C"/>
    <w:rsid w:val="009679D3"/>
    <w:rsid w:val="00972233"/>
    <w:rsid w:val="0097475F"/>
    <w:rsid w:val="00974A8E"/>
    <w:rsid w:val="00996BC5"/>
    <w:rsid w:val="009A6386"/>
    <w:rsid w:val="009D007D"/>
    <w:rsid w:val="009F582C"/>
    <w:rsid w:val="00A041B2"/>
    <w:rsid w:val="00A25946"/>
    <w:rsid w:val="00A36CF7"/>
    <w:rsid w:val="00A36E8E"/>
    <w:rsid w:val="00A50609"/>
    <w:rsid w:val="00A519D9"/>
    <w:rsid w:val="00A90EE2"/>
    <w:rsid w:val="00A97B53"/>
    <w:rsid w:val="00AA2423"/>
    <w:rsid w:val="00AA25E7"/>
    <w:rsid w:val="00AB3577"/>
    <w:rsid w:val="00AC707E"/>
    <w:rsid w:val="00AD3759"/>
    <w:rsid w:val="00AE5B78"/>
    <w:rsid w:val="00AE5F4D"/>
    <w:rsid w:val="00AE7436"/>
    <w:rsid w:val="00AF1195"/>
    <w:rsid w:val="00AF1A5D"/>
    <w:rsid w:val="00AF4825"/>
    <w:rsid w:val="00B01A12"/>
    <w:rsid w:val="00B14237"/>
    <w:rsid w:val="00B371EF"/>
    <w:rsid w:val="00B62991"/>
    <w:rsid w:val="00B661F5"/>
    <w:rsid w:val="00B85377"/>
    <w:rsid w:val="00BA019A"/>
    <w:rsid w:val="00BA1F88"/>
    <w:rsid w:val="00BA483A"/>
    <w:rsid w:val="00BC3F4A"/>
    <w:rsid w:val="00BC67E3"/>
    <w:rsid w:val="00BD61AC"/>
    <w:rsid w:val="00BF485A"/>
    <w:rsid w:val="00BF4D87"/>
    <w:rsid w:val="00C020A9"/>
    <w:rsid w:val="00C07174"/>
    <w:rsid w:val="00C07AA8"/>
    <w:rsid w:val="00C303CA"/>
    <w:rsid w:val="00C343DA"/>
    <w:rsid w:val="00C55543"/>
    <w:rsid w:val="00C66CE8"/>
    <w:rsid w:val="00C75F47"/>
    <w:rsid w:val="00C81947"/>
    <w:rsid w:val="00C90063"/>
    <w:rsid w:val="00CC4915"/>
    <w:rsid w:val="00CD0399"/>
    <w:rsid w:val="00CE1828"/>
    <w:rsid w:val="00D0354C"/>
    <w:rsid w:val="00D104E0"/>
    <w:rsid w:val="00D14A23"/>
    <w:rsid w:val="00D26B84"/>
    <w:rsid w:val="00D2739D"/>
    <w:rsid w:val="00D3777C"/>
    <w:rsid w:val="00D44A15"/>
    <w:rsid w:val="00D54EFD"/>
    <w:rsid w:val="00D679D1"/>
    <w:rsid w:val="00D829D2"/>
    <w:rsid w:val="00D87CDA"/>
    <w:rsid w:val="00DA7299"/>
    <w:rsid w:val="00DB6CCE"/>
    <w:rsid w:val="00DD4BFC"/>
    <w:rsid w:val="00DE0C0E"/>
    <w:rsid w:val="00E34815"/>
    <w:rsid w:val="00E4509A"/>
    <w:rsid w:val="00E806D8"/>
    <w:rsid w:val="00EA0AF9"/>
    <w:rsid w:val="00EB5087"/>
    <w:rsid w:val="00ED7F6F"/>
    <w:rsid w:val="00EF0823"/>
    <w:rsid w:val="00EF5222"/>
    <w:rsid w:val="00F04547"/>
    <w:rsid w:val="00F1585E"/>
    <w:rsid w:val="00F44508"/>
    <w:rsid w:val="00F46C61"/>
    <w:rsid w:val="00F50604"/>
    <w:rsid w:val="00F75B7F"/>
    <w:rsid w:val="00F81167"/>
    <w:rsid w:val="00F85157"/>
    <w:rsid w:val="00FB4014"/>
    <w:rsid w:val="00FC7651"/>
    <w:rsid w:val="00FE134F"/>
    <w:rsid w:val="15161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16BA7"/>
  <w15:chartTrackingRefBased/>
  <w15:docId w15:val="{14FD7B7A-507E-EA4A-A5A8-B538C69C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024A9D"/>
    <w:pPr>
      <w:keepNext/>
      <w:keepLines/>
      <w:pBdr>
        <w:top w:val="single" w:sz="24" w:space="18" w:color="2A2A2A" w:themeColor="text2"/>
      </w:pBdr>
      <w:spacing w:after="320"/>
      <w:ind w:right="360"/>
      <w:contextualSpacing/>
      <w:outlineLvl w:val="1"/>
    </w:pPr>
    <w:rPr>
      <w:rFonts w:eastAsiaTheme="majorEastAsia" w:cstheme="majorBidi"/>
      <w:b/>
      <w:noProof/>
      <w:color w:val="205F55"/>
      <w:sz w:val="36"/>
      <w:szCs w:val="26"/>
    </w:rPr>
  </w:style>
  <w:style w:type="paragraph" w:styleId="Heading3">
    <w:name w:val="heading 3"/>
    <w:basedOn w:val="Quote"/>
    <w:next w:val="Normal"/>
    <w:link w:val="Heading3Char"/>
    <w:uiPriority w:val="9"/>
    <w:unhideWhenUsed/>
    <w:qFormat/>
    <w:rsid w:val="004836BB"/>
    <w:pPr>
      <w:tabs>
        <w:tab w:val="left" w:pos="8190"/>
      </w:tabs>
      <w:spacing w:before="240" w:after="240"/>
      <w:ind w:right="2880"/>
      <w:outlineLvl w:val="2"/>
    </w:pPr>
    <w:rPr>
      <w:b/>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63"/>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024A9D"/>
    <w:rPr>
      <w:rFonts w:ascii="Open Sans" w:eastAsiaTheme="majorEastAsia" w:hAnsi="Open Sans" w:cstheme="majorBidi"/>
      <w:b/>
      <w:noProof/>
      <w:color w:val="205F55"/>
      <w:sz w:val="36"/>
      <w:szCs w:val="26"/>
      <w:lang w:eastAsia="en-US"/>
    </w:rPr>
  </w:style>
  <w:style w:type="paragraph" w:styleId="ListBullet">
    <w:name w:val="List Bullet"/>
    <w:basedOn w:val="ListParagraph"/>
    <w:uiPriority w:val="10"/>
    <w:qFormat/>
    <w:rsid w:val="005F3829"/>
    <w:pPr>
      <w:numPr>
        <w:numId w:val="34"/>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4836BB"/>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4836BB"/>
    <w:pPr>
      <w:spacing w:before="360" w:after="360"/>
      <w:contextualSpacing/>
    </w:pPr>
    <w:rPr>
      <w:i/>
      <w:iCs/>
      <w:color w:val="205F55" w:themeColor="accent5" w:themeShade="BF"/>
    </w:rPr>
  </w:style>
  <w:style w:type="character" w:customStyle="1" w:styleId="QuoteChar">
    <w:name w:val="Quote Char"/>
    <w:basedOn w:val="DefaultParagraphFont"/>
    <w:link w:val="Quote"/>
    <w:uiPriority w:val="29"/>
    <w:rsid w:val="004836BB"/>
    <w:rPr>
      <w:rFonts w:ascii="Open Sans" w:eastAsia="Times New Roman" w:hAnsi="Open Sans" w:cs="Times New Roman"/>
      <w:i/>
      <w:iCs/>
      <w:color w:val="205F55" w:themeColor="accent5" w:themeShade="BF"/>
      <w:lang w:eastAsia="en-US"/>
    </w:rPr>
  </w:style>
  <w:style w:type="paragraph" w:customStyle="1" w:styleId="CalloutforCalloutBox">
    <w:name w:val="Callout for Callout Box"/>
    <w:basedOn w:val="Normal"/>
    <w:qFormat/>
    <w:rsid w:val="000D1724"/>
    <w:pPr>
      <w:shd w:val="clear" w:color="auto" w:fill="D7E5EC" w:themeFill="accent2" w:themeFillTint="33"/>
    </w:pPr>
    <w:rPr>
      <w:rFonts w:eastAsia="Libre Baskerville"/>
      <w:i/>
      <w:iCs/>
    </w:rPr>
  </w:style>
  <w:style w:type="paragraph" w:styleId="ListNumber">
    <w:name w:val="List Number"/>
    <w:basedOn w:val="Normal"/>
    <w:uiPriority w:val="11"/>
    <w:qFormat/>
    <w:pPr>
      <w:numPr>
        <w:numId w:val="6"/>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semiHidden/>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024A9D"/>
    <w:pPr>
      <w:widowControl w:val="0"/>
      <w:ind w:left="0"/>
    </w:pPr>
    <w:rPr>
      <w:sz w:val="20"/>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44"/>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EF5222"/>
    <w:pPr>
      <w:ind w:hanging="207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64"/>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Header">
    <w:name w:val="header"/>
    <w:basedOn w:val="Normal"/>
    <w:link w:val="HeaderChar"/>
    <w:uiPriority w:val="99"/>
    <w:unhideWhenUsed/>
    <w:qFormat/>
    <w:rsid w:val="00974A8E"/>
    <w:pPr>
      <w:tabs>
        <w:tab w:val="center" w:pos="4680"/>
        <w:tab w:val="right" w:pos="9360"/>
      </w:tabs>
    </w:pPr>
  </w:style>
  <w:style w:type="character" w:customStyle="1" w:styleId="HeaderChar">
    <w:name w:val="Header Char"/>
    <w:basedOn w:val="DefaultParagraphFont"/>
    <w:link w:val="Header"/>
    <w:uiPriority w:val="99"/>
    <w:rsid w:val="00974A8E"/>
    <w:rPr>
      <w:rFonts w:ascii="Open Sans" w:eastAsia="Times New Roman" w:hAnsi="Open Sans" w:cs="Times New Roman"/>
      <w:color w:val="auto"/>
      <w:lang w:eastAsia="en-US"/>
    </w:rPr>
  </w:style>
  <w:style w:type="paragraph" w:styleId="CommentText">
    <w:name w:val="annotation text"/>
    <w:basedOn w:val="Normal"/>
    <w:link w:val="CommentTextChar"/>
    <w:uiPriority w:val="99"/>
    <w:unhideWhenUsed/>
    <w:rsid w:val="00974A8E"/>
    <w:pPr>
      <w:spacing w:after="160"/>
      <w:ind w:left="0"/>
    </w:pPr>
    <w:rPr>
      <w:rFonts w:ascii="Calibri" w:eastAsia="MS Mincho" w:hAnsi="Calibri" w:cs="Calibri"/>
      <w:sz w:val="20"/>
      <w:szCs w:val="20"/>
    </w:rPr>
  </w:style>
  <w:style w:type="character" w:customStyle="1" w:styleId="CommentTextChar">
    <w:name w:val="Comment Text Char"/>
    <w:basedOn w:val="DefaultParagraphFont"/>
    <w:link w:val="CommentText"/>
    <w:uiPriority w:val="99"/>
    <w:rsid w:val="00974A8E"/>
    <w:rPr>
      <w:rFonts w:ascii="Calibri" w:eastAsia="MS Mincho" w:hAnsi="Calibri" w:cs="Calibri"/>
      <w:color w:val="auto"/>
      <w:sz w:val="20"/>
      <w:szCs w:val="20"/>
      <w:lang w:eastAsia="en-US"/>
    </w:rPr>
  </w:style>
  <w:style w:type="paragraph" w:customStyle="1" w:styleId="textAcknowledgement">
    <w:name w:val="textAcknowledgement"/>
    <w:basedOn w:val="Normal"/>
    <w:qFormat/>
    <w:rsid w:val="005F00FA"/>
    <w:rPr>
      <w:rFonts w:cstheme="minorHAnsi"/>
      <w:bCs/>
      <w:sz w:val="20"/>
      <w:szCs w:val="20"/>
    </w:rPr>
  </w:style>
  <w:style w:type="paragraph" w:customStyle="1" w:styleId="textAcknowledgementList">
    <w:name w:val="textAcknowledgementList"/>
    <w:basedOn w:val="ListBullet"/>
    <w:qFormat/>
    <w:rsid w:val="005F00FA"/>
    <w:pPr>
      <w:numPr>
        <w:numId w:val="67"/>
      </w:numPr>
      <w:tabs>
        <w:tab w:val="num" w:pos="360"/>
      </w:tabs>
      <w:ind w:left="2520" w:hanging="270"/>
    </w:pPr>
    <w:rPr>
      <w:sz w:val="20"/>
      <w:szCs w:val="20"/>
    </w:rPr>
  </w:style>
  <w:style w:type="paragraph" w:customStyle="1" w:styleId="TableBullet">
    <w:name w:val="Table Bullet"/>
    <w:basedOn w:val="ListNumber"/>
    <w:qFormat/>
    <w:rsid w:val="002F75BB"/>
    <w:pPr>
      <w:numPr>
        <w:numId w:val="68"/>
      </w:numPr>
    </w:pPr>
    <w:rPr>
      <w:rFonts w:eastAsia="La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02077">
      <w:bodyDiv w:val="1"/>
      <w:marLeft w:val="0"/>
      <w:marRight w:val="0"/>
      <w:marTop w:val="0"/>
      <w:marBottom w:val="0"/>
      <w:divBdr>
        <w:top w:val="none" w:sz="0" w:space="0" w:color="auto"/>
        <w:left w:val="none" w:sz="0" w:space="0" w:color="auto"/>
        <w:bottom w:val="none" w:sz="0" w:space="0" w:color="auto"/>
        <w:right w:val="none" w:sz="0" w:space="0" w:color="auto"/>
      </w:divBdr>
    </w:div>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doi.org/10.1007/s11121-016-0631-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007/s11121-009-0123-3" TargetMode="External"/><Relationship Id="rId2" Type="http://schemas.openxmlformats.org/officeDocument/2006/relationships/numbering" Target="numbering.xml"/><Relationship Id="rId16" Type="http://schemas.openxmlformats.org/officeDocument/2006/relationships/hyperlink" Target="https://doi.org/10.1007/s10464-008-9174-z" TargetMode="External"/><Relationship Id="rId20" Type="http://schemas.openxmlformats.org/officeDocument/2006/relationships/hyperlink" Target="https://nirn.fpg.unc.edu/sites/nirn.fpg.unc.edu/files/resources/ISP%20Practice%20Guide-v1-10.27.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tp.fpg.unc.edu/wp-content/uploads/ictp-implementation-support-practice-at-the-regional-level.docx" TargetMode="External"/><Relationship Id="rId23" Type="http://schemas.openxmlformats.org/officeDocument/2006/relationships/fontTable" Target="fontTable.xml"/><Relationship Id="rId10" Type="http://schemas.openxmlformats.org/officeDocument/2006/relationships/hyperlink" Target="https://ictp.fpg.unc.edu/wp-content/uploads/nc-triple-p-implementation-evaluation.docx" TargetMode="External"/><Relationship Id="rId19" Type="http://schemas.openxmlformats.org/officeDocument/2006/relationships/hyperlink" Target="http://hdl.handle.net/10713/7379" TargetMode="External"/><Relationship Id="rId4" Type="http://schemas.openxmlformats.org/officeDocument/2006/relationships/settings" Target="settings.xml"/><Relationship Id="rId9" Type="http://schemas.openxmlformats.org/officeDocument/2006/relationships/hyperlink" Target="https://ictp.fpg.unc.edu/wp-content/uploads/nc-triple-p-implementation-evaluation.docx" TargetMode="External"/><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Desktop/test2.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test2.dotx</Template>
  <TotalTime>45</TotalTime>
  <Pages>12</Pages>
  <Words>6281</Words>
  <Characters>35805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Chin, Julie</cp:lastModifiedBy>
  <cp:revision>22</cp:revision>
  <dcterms:created xsi:type="dcterms:W3CDTF">2024-04-14T01:44:00Z</dcterms:created>
  <dcterms:modified xsi:type="dcterms:W3CDTF">2024-06-07T14:05:00Z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